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8C0265" w14:textId="5747B030" w:rsidR="00C33AF6" w:rsidRDefault="00A91819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A91819">
        <w:rPr>
          <w:rFonts w:asciiTheme="minorHAnsi" w:hAnsiTheme="minorHAnsi"/>
          <w:b/>
          <w:bCs/>
          <w:sz w:val="22"/>
          <w:szCs w:val="22"/>
          <w:lang w:val="en-US"/>
        </w:rPr>
        <w:t>Supplemental material</w:t>
      </w:r>
    </w:p>
    <w:p w14:paraId="24B4F60D" w14:textId="77777777" w:rsidR="009B03D8" w:rsidRDefault="009B03D8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1680B35E" w14:textId="77777777" w:rsidR="009B03D8" w:rsidRDefault="009B03D8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2C72FE92" w14:textId="77777777" w:rsidR="009B03D8" w:rsidRDefault="009B03D8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6A8E1C8C" w14:textId="77777777" w:rsidR="009B03D8" w:rsidRDefault="009B03D8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357969C1" w14:textId="283A2C9C" w:rsidR="009B03D8" w:rsidRPr="009B03D8" w:rsidRDefault="009B03D8" w:rsidP="009B03D8">
      <w:pPr>
        <w:pStyle w:val="TDC2"/>
        <w:tabs>
          <w:tab w:val="right" w:leader="dot" w:pos="13554"/>
        </w:tabs>
        <w:jc w:val="left"/>
        <w:rPr>
          <w:noProof/>
          <w:sz w:val="20"/>
          <w:szCs w:val="20"/>
        </w:rPr>
      </w:pPr>
      <w:r w:rsidRPr="009B03D8">
        <w:rPr>
          <w:b/>
          <w:bCs/>
          <w:sz w:val="20"/>
          <w:szCs w:val="20"/>
        </w:rPr>
        <w:fldChar w:fldCharType="begin"/>
      </w:r>
      <w:r w:rsidRPr="009B03D8">
        <w:rPr>
          <w:b/>
          <w:bCs/>
          <w:sz w:val="20"/>
          <w:szCs w:val="20"/>
        </w:rPr>
        <w:instrText xml:space="preserve"> TOC \o "1-3" \h \z \u </w:instrText>
      </w:r>
      <w:r w:rsidRPr="009B03D8">
        <w:rPr>
          <w:b/>
          <w:bCs/>
          <w:sz w:val="20"/>
          <w:szCs w:val="20"/>
        </w:rPr>
        <w:fldChar w:fldCharType="separate"/>
      </w:r>
      <w:hyperlink w:anchor="_Toc209521920" w:history="1">
        <w:r w:rsidRPr="009B03D8">
          <w:rPr>
            <w:rStyle w:val="Hipervnculo"/>
            <w:noProof/>
            <w:sz w:val="20"/>
            <w:szCs w:val="20"/>
          </w:rPr>
          <w:t>Table S1. Delphi consensus on responses generated by three large language models to prostate cancer management questions.</w:t>
        </w:r>
        <w:r w:rsidRPr="009B03D8">
          <w:rPr>
            <w:noProof/>
            <w:webHidden/>
            <w:sz w:val="20"/>
            <w:szCs w:val="20"/>
          </w:rPr>
          <w:tab/>
        </w:r>
        <w:r w:rsidRPr="009B03D8">
          <w:rPr>
            <w:noProof/>
            <w:webHidden/>
            <w:sz w:val="20"/>
            <w:szCs w:val="20"/>
          </w:rPr>
          <w:fldChar w:fldCharType="begin"/>
        </w:r>
        <w:r w:rsidRPr="009B03D8">
          <w:rPr>
            <w:noProof/>
            <w:webHidden/>
            <w:sz w:val="20"/>
            <w:szCs w:val="20"/>
          </w:rPr>
          <w:instrText xml:space="preserve"> PAGEREF _Toc209521920 \h </w:instrText>
        </w:r>
        <w:r w:rsidRPr="009B03D8">
          <w:rPr>
            <w:noProof/>
            <w:webHidden/>
            <w:sz w:val="20"/>
            <w:szCs w:val="20"/>
          </w:rPr>
        </w:r>
        <w:r w:rsidRPr="009B03D8">
          <w:rPr>
            <w:noProof/>
            <w:webHidden/>
            <w:sz w:val="20"/>
            <w:szCs w:val="20"/>
          </w:rPr>
          <w:fldChar w:fldCharType="separate"/>
        </w:r>
        <w:r w:rsidR="00AF0AAD">
          <w:rPr>
            <w:noProof/>
            <w:webHidden/>
            <w:sz w:val="20"/>
            <w:szCs w:val="20"/>
          </w:rPr>
          <w:t>2</w:t>
        </w:r>
        <w:r w:rsidRPr="009B03D8">
          <w:rPr>
            <w:noProof/>
            <w:webHidden/>
            <w:sz w:val="20"/>
            <w:szCs w:val="20"/>
          </w:rPr>
          <w:fldChar w:fldCharType="end"/>
        </w:r>
      </w:hyperlink>
    </w:p>
    <w:p w14:paraId="0DDAEFC0" w14:textId="31173368" w:rsidR="009B03D8" w:rsidRPr="009B03D8" w:rsidRDefault="009B03D8" w:rsidP="009B03D8">
      <w:pPr>
        <w:pStyle w:val="TDC2"/>
        <w:tabs>
          <w:tab w:val="right" w:leader="dot" w:pos="13554"/>
        </w:tabs>
        <w:jc w:val="left"/>
        <w:rPr>
          <w:noProof/>
          <w:sz w:val="20"/>
          <w:szCs w:val="20"/>
        </w:rPr>
      </w:pPr>
      <w:hyperlink w:anchor="_Toc209521921" w:history="1">
        <w:r w:rsidRPr="009B03D8">
          <w:rPr>
            <w:rStyle w:val="Hipervnculo"/>
            <w:noProof/>
            <w:sz w:val="20"/>
            <w:szCs w:val="20"/>
          </w:rPr>
          <w:t>Figure S1. Proportion of panelists scoring in each category (1–3 = disagreement, 4–6 = no consensus, 7–9 = agreement) per clinical question and large language model after both Delphi rounds.</w:t>
        </w:r>
        <w:r w:rsidRPr="009B03D8">
          <w:rPr>
            <w:noProof/>
            <w:webHidden/>
            <w:sz w:val="20"/>
            <w:szCs w:val="20"/>
          </w:rPr>
          <w:tab/>
        </w:r>
        <w:r w:rsidRPr="009B03D8">
          <w:rPr>
            <w:noProof/>
            <w:webHidden/>
            <w:sz w:val="20"/>
            <w:szCs w:val="20"/>
          </w:rPr>
          <w:fldChar w:fldCharType="begin"/>
        </w:r>
        <w:r w:rsidRPr="009B03D8">
          <w:rPr>
            <w:noProof/>
            <w:webHidden/>
            <w:sz w:val="20"/>
            <w:szCs w:val="20"/>
          </w:rPr>
          <w:instrText xml:space="preserve"> PAGEREF _Toc209521921 \h </w:instrText>
        </w:r>
        <w:r w:rsidRPr="009B03D8">
          <w:rPr>
            <w:noProof/>
            <w:webHidden/>
            <w:sz w:val="20"/>
            <w:szCs w:val="20"/>
          </w:rPr>
        </w:r>
        <w:r w:rsidRPr="009B03D8">
          <w:rPr>
            <w:noProof/>
            <w:webHidden/>
            <w:sz w:val="20"/>
            <w:szCs w:val="20"/>
          </w:rPr>
          <w:fldChar w:fldCharType="separate"/>
        </w:r>
        <w:r w:rsidR="00AF0AAD">
          <w:rPr>
            <w:noProof/>
            <w:webHidden/>
            <w:sz w:val="20"/>
            <w:szCs w:val="20"/>
          </w:rPr>
          <w:t>7</w:t>
        </w:r>
        <w:r w:rsidRPr="009B03D8">
          <w:rPr>
            <w:noProof/>
            <w:webHidden/>
            <w:sz w:val="20"/>
            <w:szCs w:val="20"/>
          </w:rPr>
          <w:fldChar w:fldCharType="end"/>
        </w:r>
      </w:hyperlink>
    </w:p>
    <w:p w14:paraId="7942A9FB" w14:textId="232C5C0A" w:rsidR="009B03D8" w:rsidRDefault="009B03D8" w:rsidP="009B03D8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9B03D8">
        <w:rPr>
          <w:rFonts w:asciiTheme="minorHAnsi" w:hAnsiTheme="minorHAnsi"/>
          <w:b/>
          <w:bCs/>
          <w:sz w:val="20"/>
          <w:szCs w:val="20"/>
          <w:lang w:val="en-US"/>
        </w:rPr>
        <w:fldChar w:fldCharType="end"/>
      </w:r>
    </w:p>
    <w:p w14:paraId="7021D057" w14:textId="77777777" w:rsidR="00A91819" w:rsidRDefault="00A91819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03020124" w14:textId="77777777" w:rsidR="00A91819" w:rsidRDefault="00A91819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36FEF57A" w14:textId="77777777" w:rsidR="00A91819" w:rsidRDefault="00A91819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4644872C" w14:textId="77777777" w:rsidR="00A91819" w:rsidRPr="00A91819" w:rsidRDefault="00A91819" w:rsidP="00C33AF6">
      <w:pPr>
        <w:pStyle w:val="Default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2BD77992" w14:textId="77777777" w:rsidR="00A91819" w:rsidRDefault="00A91819" w:rsidP="00C33AF6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60EBF5F5" w14:textId="77777777" w:rsidR="00A91819" w:rsidRPr="00C919DE" w:rsidRDefault="00A91819" w:rsidP="00C33AF6">
      <w:pPr>
        <w:pStyle w:val="Default"/>
        <w:rPr>
          <w:rFonts w:asciiTheme="minorHAnsi" w:hAnsiTheme="minorHAnsi"/>
          <w:sz w:val="20"/>
          <w:szCs w:val="20"/>
          <w:lang w:val="en-US"/>
        </w:rPr>
      </w:pPr>
    </w:p>
    <w:p w14:paraId="2E058CA8" w14:textId="77777777" w:rsidR="00A91819" w:rsidRDefault="00A9181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3DF821D3" w14:textId="376EBAEB" w:rsidR="00F81A54" w:rsidRPr="009B03D8" w:rsidRDefault="006930EB" w:rsidP="009B03D8">
      <w:pPr>
        <w:pStyle w:val="Ttulo2"/>
        <w:rPr>
          <w:sz w:val="24"/>
          <w:szCs w:val="24"/>
        </w:rPr>
      </w:pPr>
      <w:bookmarkStart w:id="0" w:name="_Toc209521920"/>
      <w:r w:rsidRPr="009B03D8">
        <w:rPr>
          <w:sz w:val="24"/>
          <w:szCs w:val="24"/>
        </w:rPr>
        <w:lastRenderedPageBreak/>
        <w:t xml:space="preserve">Table </w:t>
      </w:r>
      <w:r w:rsidR="00144018" w:rsidRPr="009B03D8">
        <w:rPr>
          <w:sz w:val="24"/>
          <w:szCs w:val="24"/>
        </w:rPr>
        <w:t>S</w:t>
      </w:r>
      <w:r w:rsidR="006C04C6" w:rsidRPr="009B03D8">
        <w:rPr>
          <w:sz w:val="24"/>
          <w:szCs w:val="24"/>
        </w:rPr>
        <w:t>1</w:t>
      </w:r>
      <w:r w:rsidRPr="009B03D8">
        <w:rPr>
          <w:sz w:val="24"/>
          <w:szCs w:val="24"/>
        </w:rPr>
        <w:t xml:space="preserve">. </w:t>
      </w:r>
      <w:r w:rsidR="002D5B7A" w:rsidRPr="009B03D8">
        <w:rPr>
          <w:sz w:val="24"/>
          <w:szCs w:val="24"/>
        </w:rPr>
        <w:t xml:space="preserve">Delphi consensus on responses generated by three large language models to </w:t>
      </w:r>
      <w:r w:rsidR="00FB3BC4" w:rsidRPr="009B03D8">
        <w:rPr>
          <w:sz w:val="24"/>
          <w:szCs w:val="24"/>
        </w:rPr>
        <w:t>prostate cancer</w:t>
      </w:r>
      <w:r w:rsidR="002D5B7A" w:rsidRPr="009B03D8">
        <w:rPr>
          <w:sz w:val="24"/>
          <w:szCs w:val="24"/>
        </w:rPr>
        <w:t xml:space="preserve"> management questions</w:t>
      </w:r>
      <w:r w:rsidR="00ED1721" w:rsidRPr="009B03D8">
        <w:rPr>
          <w:sz w:val="24"/>
          <w:szCs w:val="24"/>
        </w:rPr>
        <w:t>.</w:t>
      </w:r>
      <w:bookmarkEnd w:id="0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876"/>
        <w:gridCol w:w="1400"/>
        <w:gridCol w:w="1160"/>
        <w:gridCol w:w="1160"/>
        <w:gridCol w:w="3874"/>
        <w:gridCol w:w="1084"/>
      </w:tblGrid>
      <w:tr w:rsidR="00687DA3" w:rsidRPr="00C919DE" w14:paraId="5AE88DBC" w14:textId="3F7F7A63" w:rsidTr="00687DA3">
        <w:tc>
          <w:tcPr>
            <w:tcW w:w="1799" w:type="pct"/>
            <w:vMerge w:val="restart"/>
            <w:vAlign w:val="center"/>
          </w:tcPr>
          <w:p w14:paraId="519A4DE8" w14:textId="4681675B" w:rsidR="00687DA3" w:rsidRPr="00C919DE" w:rsidRDefault="00687DA3" w:rsidP="00A63952">
            <w:pPr>
              <w:contextualSpacing/>
              <w:jc w:val="center"/>
              <w:rPr>
                <w:sz w:val="20"/>
                <w:szCs w:val="20"/>
              </w:rPr>
            </w:pPr>
            <w:r w:rsidRPr="00C919DE">
              <w:rPr>
                <w:b/>
                <w:bCs/>
                <w:sz w:val="20"/>
                <w:szCs w:val="20"/>
              </w:rPr>
              <w:t>Guideline-based questions</w:t>
            </w:r>
          </w:p>
        </w:tc>
        <w:tc>
          <w:tcPr>
            <w:tcW w:w="1372" w:type="pct"/>
            <w:gridSpan w:val="3"/>
            <w:tcBorders>
              <w:bottom w:val="single" w:sz="4" w:space="0" w:color="auto"/>
            </w:tcBorders>
          </w:tcPr>
          <w:p w14:paraId="2CC045C6" w14:textId="7D0C413C" w:rsidR="00687DA3" w:rsidRPr="00C919DE" w:rsidRDefault="00687DA3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C919DE">
              <w:rPr>
                <w:b/>
                <w:bCs/>
                <w:sz w:val="20"/>
                <w:szCs w:val="20"/>
              </w:rPr>
              <w:t>Delphi results by LLM</w:t>
            </w:r>
            <w:r w:rsidRPr="00C919DE">
              <w:rPr>
                <w:b/>
                <w:bCs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1429" w:type="pct"/>
            <w:vMerge w:val="restart"/>
          </w:tcPr>
          <w:p w14:paraId="67419B1D" w14:textId="76655A98" w:rsidR="00687DA3" w:rsidRPr="001C1199" w:rsidRDefault="00687DA3" w:rsidP="008B4034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Summary of main panelists’ comments</w:t>
            </w:r>
          </w:p>
        </w:tc>
        <w:tc>
          <w:tcPr>
            <w:tcW w:w="400" w:type="pct"/>
            <w:vMerge w:val="restart"/>
          </w:tcPr>
          <w:p w14:paraId="22DD584F" w14:textId="2AA949C2" w:rsidR="00687DA3" w:rsidRPr="00687DA3" w:rsidRDefault="00687DA3" w:rsidP="00687DA3">
            <w:pPr>
              <w:contextualSpacing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687DA3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Panelists</w:t>
            </w:r>
          </w:p>
          <w:p w14:paraId="1886EB8E" w14:textId="20919356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687DA3"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  <w:t>(n)</w:t>
            </w:r>
          </w:p>
        </w:tc>
      </w:tr>
      <w:tr w:rsidR="00687DA3" w:rsidRPr="00C919DE" w14:paraId="63545DEA" w14:textId="0B076AED" w:rsidTr="00687DA3">
        <w:tc>
          <w:tcPr>
            <w:tcW w:w="1799" w:type="pct"/>
            <w:vMerge/>
            <w:vAlign w:val="center"/>
          </w:tcPr>
          <w:p w14:paraId="061E4CEC" w14:textId="77777777" w:rsidR="00687DA3" w:rsidRPr="00C919DE" w:rsidRDefault="00687DA3" w:rsidP="008B403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</w:tcPr>
          <w:p w14:paraId="5379BF0B" w14:textId="795A2FD1" w:rsidR="00687DA3" w:rsidRPr="00C919DE" w:rsidRDefault="00687DA3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Claude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0A2E383" w14:textId="13E96B5A" w:rsidR="00687DA3" w:rsidRPr="00C919DE" w:rsidRDefault="00687DA3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Gemini</w:t>
            </w:r>
          </w:p>
        </w:tc>
        <w:tc>
          <w:tcPr>
            <w:tcW w:w="428" w:type="pct"/>
            <w:tcBorders>
              <w:bottom w:val="single" w:sz="4" w:space="0" w:color="auto"/>
            </w:tcBorders>
          </w:tcPr>
          <w:p w14:paraId="03FEDC41" w14:textId="7CC809EC" w:rsidR="00687DA3" w:rsidRPr="00C919DE" w:rsidRDefault="00687DA3" w:rsidP="008B4034">
            <w:pPr>
              <w:contextualSpacing/>
              <w:jc w:val="center"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ChatGPT</w:t>
            </w:r>
          </w:p>
        </w:tc>
        <w:tc>
          <w:tcPr>
            <w:tcW w:w="1429" w:type="pct"/>
            <w:vMerge/>
            <w:tcBorders>
              <w:bottom w:val="single" w:sz="4" w:space="0" w:color="auto"/>
            </w:tcBorders>
          </w:tcPr>
          <w:p w14:paraId="00A1C6D6" w14:textId="77777777" w:rsidR="00687DA3" w:rsidRPr="001C1199" w:rsidRDefault="00687DA3" w:rsidP="008B4034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bottom w:val="single" w:sz="4" w:space="0" w:color="auto"/>
            </w:tcBorders>
          </w:tcPr>
          <w:p w14:paraId="369DAC63" w14:textId="77777777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87DA3" w:rsidRPr="00C919DE" w14:paraId="73FE2D6C" w14:textId="59EB24D6" w:rsidTr="00687DA3">
        <w:tc>
          <w:tcPr>
            <w:tcW w:w="1799" w:type="pct"/>
            <w:vAlign w:val="center"/>
          </w:tcPr>
          <w:p w14:paraId="3C9BB188" w14:textId="0669D4BD" w:rsidR="00687DA3" w:rsidRPr="00C919DE" w:rsidRDefault="00687DA3" w:rsidP="00522286">
            <w:pPr>
              <w:contextualSpacing/>
              <w:rPr>
                <w:sz w:val="20"/>
                <w:szCs w:val="20"/>
              </w:rPr>
            </w:pPr>
            <w:bookmarkStart w:id="1" w:name="_Hlk203682749"/>
            <w:r w:rsidRPr="00C919DE">
              <w:rPr>
                <w:sz w:val="20"/>
                <w:szCs w:val="20"/>
              </w:rPr>
              <w:t>1. What treatment options are available for a patient with metastatic castration-resistant prostate adenocarcinoma who has progressed on apalutamide therapy?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3BF6912A" w14:textId="5B36A352" w:rsidR="00687DA3" w:rsidRPr="00C919DE" w:rsidRDefault="00687DA3" w:rsidP="00522286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(60%)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7D2BBB2A" w14:textId="19C6EF50" w:rsidR="00687DA3" w:rsidRPr="00C919DE" w:rsidRDefault="00687DA3" w:rsidP="00522286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1731E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round (90%)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11B84255" w14:textId="4BC4C79D" w:rsidR="00687DA3" w:rsidRPr="00C919DE" w:rsidRDefault="00687DA3" w:rsidP="00522286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(30%)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6C2E3921" w14:textId="3FAD2646" w:rsidR="00687DA3" w:rsidRPr="001C1199" w:rsidRDefault="00687DA3" w:rsidP="00EA2B6B">
            <w:pPr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Claude: </w:t>
            </w:r>
            <w:proofErr w:type="spellStart"/>
            <w:r w:rsidRPr="001C1199">
              <w:rPr>
                <w:color w:val="000000" w:themeColor="text1"/>
                <w:sz w:val="20"/>
                <w:szCs w:val="20"/>
              </w:rPr>
              <w:t>Cabazitaxel</w:t>
            </w:r>
            <w:proofErr w:type="spellEnd"/>
            <w:r w:rsidRPr="001C1199">
              <w:rPr>
                <w:color w:val="000000" w:themeColor="text1"/>
                <w:sz w:val="20"/>
                <w:szCs w:val="20"/>
              </w:rPr>
              <w:t xml:space="preserve"> is incorrectly suggested as first-line therapy; it is only indicated after prior docetaxel.</w:t>
            </w:r>
          </w:p>
          <w:p w14:paraId="46B5496F" w14:textId="4AC02D8C" w:rsidR="00687DA3" w:rsidRPr="001C1199" w:rsidRDefault="00687DA3" w:rsidP="00EA2B6B">
            <w:pPr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Gemini and ChatGPT: 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The first recommendation </w:t>
            </w:r>
            <w:proofErr w:type="gramStart"/>
            <w:r w:rsidRPr="001C1199">
              <w:rPr>
                <w:color w:val="000000" w:themeColor="text1"/>
                <w:sz w:val="20"/>
                <w:szCs w:val="20"/>
              </w:rPr>
              <w:t>is</w:t>
            </w:r>
            <w:proofErr w:type="gramEnd"/>
            <w:r w:rsidRPr="001C1199">
              <w:rPr>
                <w:color w:val="000000" w:themeColor="text1"/>
                <w:sz w:val="20"/>
                <w:szCs w:val="20"/>
              </w:rPr>
              <w:t xml:space="preserve"> not fully accurate, as it excludes docetaxel.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CF0FB89" w14:textId="12CB1372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492ED441" w14:textId="33EE8FC9" w:rsidTr="00687DA3">
        <w:trPr>
          <w:trHeight w:val="343"/>
        </w:trPr>
        <w:tc>
          <w:tcPr>
            <w:tcW w:w="1799" w:type="pct"/>
          </w:tcPr>
          <w:p w14:paraId="79216DFC" w14:textId="7363C17F" w:rsidR="00687DA3" w:rsidRPr="00C919DE" w:rsidRDefault="00687DA3" w:rsidP="00C1731E">
            <w:pPr>
              <w:pStyle w:val="Prrafodelista"/>
              <w:ind w:left="0"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2. Is a</w:t>
            </w:r>
            <w:r>
              <w:rPr>
                <w:sz w:val="20"/>
                <w:szCs w:val="20"/>
              </w:rPr>
              <w:t>n</w:t>
            </w:r>
            <w:r w:rsidRPr="00C919DE">
              <w:rPr>
                <w:sz w:val="20"/>
                <w:szCs w:val="20"/>
              </w:rPr>
              <w:t xml:space="preserve"> FDG PET/CT scan necessary before offering a patient 177Lu-PSMA therapy?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2855004" w14:textId="07BFB5F1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F5B597C" w14:textId="79CF9EAA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E84AE16" w14:textId="594A9391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1EC9DFBF" w14:textId="4C2DC989" w:rsidR="00687DA3" w:rsidRPr="001C1199" w:rsidRDefault="00687DA3" w:rsidP="00403A93">
            <w:pPr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Claude: </w:t>
            </w:r>
            <w:r w:rsidRPr="001C1199">
              <w:rPr>
                <w:color w:val="000000" w:themeColor="text1"/>
                <w:sz w:val="20"/>
                <w:szCs w:val="20"/>
              </w:rPr>
              <w:t>The response is correct but should be more categorical.</w:t>
            </w:r>
          </w:p>
          <w:p w14:paraId="1403305F" w14:textId="6A10E33F" w:rsidR="00687DA3" w:rsidRPr="001C1199" w:rsidRDefault="00687DA3" w:rsidP="00403A93">
            <w:pPr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Gemini: </w:t>
            </w:r>
            <w:r w:rsidRPr="001C1199">
              <w:rPr>
                <w:color w:val="000000" w:themeColor="text1"/>
                <w:sz w:val="20"/>
                <w:szCs w:val="20"/>
              </w:rPr>
              <w:t>Provides a clearer explanation than Claude.</w:t>
            </w:r>
          </w:p>
          <w:p w14:paraId="251F3472" w14:textId="0B6B05A2" w:rsidR="00687DA3" w:rsidRPr="001C1199" w:rsidRDefault="00687DA3" w:rsidP="00403A93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ChatGPT: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Provides a more direct answer but lacks sufficient explanation.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20EE3C4" w14:textId="1AD84F72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1ED32E51" w14:textId="7044B68F" w:rsidTr="00687DA3">
        <w:trPr>
          <w:trHeight w:val="264"/>
        </w:trPr>
        <w:tc>
          <w:tcPr>
            <w:tcW w:w="1799" w:type="pct"/>
          </w:tcPr>
          <w:p w14:paraId="2491965C" w14:textId="5C8325ED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 xml:space="preserve">3. Which combination of an ARPI and a PARP inhibitor can be offered to a patient with metastatic castration-resistant prostate cancer and a pathogenic </w:t>
            </w:r>
            <w:bookmarkStart w:id="2" w:name="OLE_LINK9"/>
            <w:r w:rsidRPr="00C919DE">
              <w:rPr>
                <w:sz w:val="20"/>
                <w:szCs w:val="20"/>
              </w:rPr>
              <w:t>germline BRCA2 mutation</w:t>
            </w:r>
            <w:bookmarkEnd w:id="2"/>
            <w:r w:rsidRPr="00C919DE">
              <w:rPr>
                <w:sz w:val="20"/>
                <w:szCs w:val="20"/>
              </w:rPr>
              <w:t>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0420B9C" w14:textId="55483175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0C41E64" w14:textId="04DE1885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ECE9713" w14:textId="01970051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5BA2D7DA" w14:textId="7F71917B" w:rsidR="00687DA3" w:rsidRPr="001C1199" w:rsidRDefault="00687DA3" w:rsidP="00564D30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and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provide clearer explanations than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71C7C6B" w14:textId="3A21740B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376CC1A5" w14:textId="3ADDE113" w:rsidTr="00687DA3">
        <w:trPr>
          <w:trHeight w:val="1833"/>
        </w:trPr>
        <w:tc>
          <w:tcPr>
            <w:tcW w:w="1799" w:type="pct"/>
          </w:tcPr>
          <w:p w14:paraId="30D8DEE2" w14:textId="01D0251A" w:rsidR="00687DA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0863E4">
              <w:rPr>
                <w:sz w:val="20"/>
                <w:szCs w:val="20"/>
              </w:rPr>
              <w:t>What would the clinical stage be in this case?</w:t>
            </w:r>
          </w:p>
          <w:p w14:paraId="01210801" w14:textId="77777777" w:rsidR="00687DA3" w:rsidRDefault="00687DA3" w:rsidP="00957E95">
            <w:pPr>
              <w:spacing w:before="100" w:after="100"/>
              <w:contextualSpacing/>
              <w:rPr>
                <w:b/>
                <w:bCs/>
                <w:sz w:val="20"/>
                <w:szCs w:val="20"/>
              </w:rPr>
            </w:pPr>
          </w:p>
          <w:p w14:paraId="13CF6471" w14:textId="0AEB54CE" w:rsidR="00687DA3" w:rsidRPr="008272C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>76-year-old male</w:t>
            </w:r>
            <w:r w:rsidRPr="008272C3">
              <w:rPr>
                <w:sz w:val="20"/>
                <w:szCs w:val="20"/>
              </w:rPr>
              <w:t xml:space="preserve"> with a medical history of hypertension (treated with </w:t>
            </w:r>
            <w:r>
              <w:rPr>
                <w:sz w:val="20"/>
                <w:szCs w:val="20"/>
              </w:rPr>
              <w:t>e</w:t>
            </w:r>
            <w:r w:rsidRPr="008272C3">
              <w:rPr>
                <w:sz w:val="20"/>
                <w:szCs w:val="20"/>
              </w:rPr>
              <w:t xml:space="preserve">nalapril) and type 2 diabetes (HbA1c 6.8%, on </w:t>
            </w:r>
            <w:r>
              <w:rPr>
                <w:sz w:val="20"/>
                <w:szCs w:val="20"/>
              </w:rPr>
              <w:t>m</w:t>
            </w:r>
            <w:r w:rsidRPr="008272C3">
              <w:rPr>
                <w:sz w:val="20"/>
                <w:szCs w:val="20"/>
              </w:rPr>
              <w:t>etformin); non-smoker, occasional alcohol use, sedentary lifestyle. Family history includes a father diagnosed with prostate cancer at age 72.</w:t>
            </w:r>
          </w:p>
          <w:p w14:paraId="164CFFAC" w14:textId="1F903E44" w:rsidR="00687DA3" w:rsidRPr="008272C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8272C3">
              <w:rPr>
                <w:b/>
                <w:bCs/>
                <w:sz w:val="20"/>
                <w:szCs w:val="20"/>
              </w:rPr>
              <w:t>Presenting symptoms</w:t>
            </w:r>
            <w:r w:rsidRPr="008272C3">
              <w:rPr>
                <w:sz w:val="20"/>
                <w:szCs w:val="20"/>
              </w:rPr>
              <w:t>: Lower urinary tract symptoms over the past six months, including increased urinary frequency and nocturia three times per night; mild erectile dysfunction, progressively worsening over the past year.</w:t>
            </w:r>
          </w:p>
          <w:p w14:paraId="22F91AF0" w14:textId="7BFE2DC5" w:rsidR="00687DA3" w:rsidRPr="008272C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9F7D79">
              <w:rPr>
                <w:b/>
                <w:bCs/>
                <w:sz w:val="20"/>
                <w:szCs w:val="20"/>
              </w:rPr>
              <w:t>Clinical examination and PSA:</w:t>
            </w:r>
            <w:r w:rsidRPr="008272C3">
              <w:rPr>
                <w:sz w:val="20"/>
                <w:szCs w:val="20"/>
              </w:rPr>
              <w:t xml:space="preserve"> PSA level of 17.5 ng/mL (confirmed on repeat); digital rectal exam reveals a grade III/IV prostate without nodules or suspicious findings.</w:t>
            </w:r>
          </w:p>
          <w:p w14:paraId="498B3E88" w14:textId="6CF6640A" w:rsidR="00687DA3" w:rsidRPr="008272C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9F7D79">
              <w:rPr>
                <w:b/>
                <w:bCs/>
                <w:sz w:val="20"/>
                <w:szCs w:val="20"/>
              </w:rPr>
              <w:lastRenderedPageBreak/>
              <w:t>Imaging findings:</w:t>
            </w:r>
            <w:r w:rsidRPr="008272C3">
              <w:rPr>
                <w:sz w:val="20"/>
                <w:szCs w:val="20"/>
              </w:rPr>
              <w:t xml:space="preserve"> Multiparametric MRI identifies a 2 cm lesion in the left peripheral zone (PI-RADS 5) with </w:t>
            </w:r>
            <w:r>
              <w:rPr>
                <w:sz w:val="20"/>
                <w:szCs w:val="20"/>
              </w:rPr>
              <w:t>uncertain</w:t>
            </w:r>
            <w:r w:rsidRPr="008272C3">
              <w:rPr>
                <w:sz w:val="20"/>
                <w:szCs w:val="20"/>
              </w:rPr>
              <w:t xml:space="preserve"> </w:t>
            </w:r>
            <w:proofErr w:type="spellStart"/>
            <w:r w:rsidRPr="008272C3">
              <w:rPr>
                <w:sz w:val="20"/>
                <w:szCs w:val="20"/>
              </w:rPr>
              <w:t>extraprostatic</w:t>
            </w:r>
            <w:proofErr w:type="spellEnd"/>
            <w:r w:rsidRPr="008272C3">
              <w:rPr>
                <w:sz w:val="20"/>
                <w:szCs w:val="20"/>
              </w:rPr>
              <w:t xml:space="preserve"> extension, but no evidence of seminal vesicle invasion.</w:t>
            </w:r>
          </w:p>
          <w:p w14:paraId="26883671" w14:textId="0CDDB928" w:rsidR="00687DA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 xml:space="preserve">Systematic </w:t>
            </w:r>
            <w:proofErr w:type="spellStart"/>
            <w:r w:rsidRPr="00957E95">
              <w:rPr>
                <w:b/>
                <w:bCs/>
                <w:sz w:val="20"/>
                <w:szCs w:val="20"/>
              </w:rPr>
              <w:t>transperineal</w:t>
            </w:r>
            <w:proofErr w:type="spellEnd"/>
            <w:r w:rsidRPr="00957E95">
              <w:rPr>
                <w:b/>
                <w:bCs/>
                <w:sz w:val="20"/>
                <w:szCs w:val="20"/>
              </w:rPr>
              <w:t xml:space="preserve"> ultrasound-guided biopsy</w:t>
            </w:r>
            <w:r w:rsidRPr="00064159">
              <w:rPr>
                <w:sz w:val="20"/>
                <w:szCs w:val="20"/>
              </w:rPr>
              <w:t xml:space="preserve"> directed at the MRI-identified lesion. 12 systematic cores plus 4 targeted cores.</w:t>
            </w:r>
          </w:p>
          <w:p w14:paraId="2CB1139D" w14:textId="77777777" w:rsidR="00687DA3" w:rsidRDefault="00687DA3" w:rsidP="00957E95">
            <w:pPr>
              <w:spacing w:before="100" w:after="100"/>
              <w:contextualSpacing/>
              <w:rPr>
                <w:rFonts w:ascii="MS Gothic" w:eastAsia="MS Gothic" w:hAnsi="MS Gothic" w:cs="MS Gothic"/>
                <w:b/>
                <w:bCs/>
                <w:sz w:val="20"/>
                <w:szCs w:val="20"/>
              </w:rPr>
            </w:pPr>
            <w:r w:rsidRPr="00064159">
              <w:rPr>
                <w:b/>
                <w:bCs/>
                <w:sz w:val="20"/>
                <w:szCs w:val="20"/>
              </w:rPr>
              <w:t>Systematic biopsy:</w:t>
            </w:r>
            <w:r w:rsidRPr="00064159">
              <w:rPr>
                <w:rFonts w:ascii="MS Gothic" w:eastAsia="MS Gothic" w:hAnsi="MS Gothic" w:cs="MS Gothic" w:hint="eastAsia"/>
                <w:b/>
                <w:bCs/>
                <w:sz w:val="20"/>
                <w:szCs w:val="20"/>
              </w:rPr>
              <w:t> </w:t>
            </w:r>
          </w:p>
          <w:p w14:paraId="21D741D8" w14:textId="73360B44" w:rsidR="00687DA3" w:rsidRPr="00957E95" w:rsidRDefault="00687DA3" w:rsidP="00280A80">
            <w:pPr>
              <w:pStyle w:val="Prrafodelista"/>
              <w:numPr>
                <w:ilvl w:val="0"/>
                <w:numId w:val="15"/>
              </w:numPr>
              <w:spacing w:before="100" w:after="100"/>
              <w:rPr>
                <w:b/>
                <w:bCs/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 xml:space="preserve">Right lobe: </w:t>
            </w:r>
            <w:r w:rsidRPr="00957E95">
              <w:rPr>
                <w:sz w:val="20"/>
                <w:szCs w:val="20"/>
              </w:rPr>
              <w:t>Apex: 2 of 2 cores positive for prostate adenocarcinoma, Gleason 3+4=7. Tumor involvement: 30%. Mid: 0 of 2 cores positive. Base: 0 of 2 cores positive.</w:t>
            </w:r>
          </w:p>
          <w:p w14:paraId="02642490" w14:textId="3BD8F28C" w:rsidR="00687DA3" w:rsidRPr="00957E95" w:rsidRDefault="00687DA3" w:rsidP="00280A80">
            <w:pPr>
              <w:pStyle w:val="Prrafodelista"/>
              <w:numPr>
                <w:ilvl w:val="0"/>
                <w:numId w:val="15"/>
              </w:numPr>
              <w:spacing w:before="100" w:after="100"/>
              <w:rPr>
                <w:b/>
                <w:bCs/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 xml:space="preserve">Left lobe: </w:t>
            </w:r>
            <w:r w:rsidRPr="00957E95">
              <w:rPr>
                <w:sz w:val="20"/>
                <w:szCs w:val="20"/>
              </w:rPr>
              <w:t>Apex: 0 of 2 cores positive. Mid: 1 of 2 cores positive for prostate adenocarcinoma, Gleason 4+4=8. Tumor involvement: 40%. Base: 1 of 2 cores positive for prostate adenocarcinoma, Gleason 4+4=8. Tumor involvement: 70%.</w:t>
            </w:r>
          </w:p>
          <w:p w14:paraId="56DB5066" w14:textId="77777777" w:rsidR="00687DA3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>Targeted biopsy (PI-RADS 5 lesion):</w:t>
            </w:r>
            <w:r w:rsidRPr="00957E95">
              <w:rPr>
                <w:rFonts w:ascii="MS Gothic" w:eastAsia="MS Gothic" w:hAnsi="MS Gothic" w:cs="MS Gothic" w:hint="eastAsia"/>
                <w:b/>
                <w:bCs/>
                <w:sz w:val="20"/>
                <w:szCs w:val="20"/>
              </w:rPr>
              <w:t> </w:t>
            </w:r>
            <w:r w:rsidRPr="00064159">
              <w:rPr>
                <w:sz w:val="20"/>
                <w:szCs w:val="20"/>
              </w:rPr>
              <w:t>3 of 4 targeted cores positive for prostate adenocarcinoma, Gleason 4+5=9. Tumor involvement: 90% in one core, 100% in the second core.</w:t>
            </w:r>
          </w:p>
          <w:p w14:paraId="67C0512F" w14:textId="77777777" w:rsidR="00687DA3" w:rsidRPr="00064159" w:rsidRDefault="00687DA3" w:rsidP="00957E95">
            <w:pPr>
              <w:spacing w:before="100" w:after="100"/>
              <w:contextualSpacing/>
              <w:rPr>
                <w:sz w:val="20"/>
                <w:szCs w:val="20"/>
              </w:rPr>
            </w:pPr>
          </w:p>
          <w:p w14:paraId="36A839B7" w14:textId="77777777" w:rsidR="00687DA3" w:rsidRPr="00957E95" w:rsidRDefault="00687DA3" w:rsidP="00957E95">
            <w:pPr>
              <w:spacing w:before="100" w:after="100"/>
              <w:contextualSpacing/>
              <w:rPr>
                <w:b/>
                <w:bCs/>
                <w:sz w:val="20"/>
                <w:szCs w:val="20"/>
              </w:rPr>
            </w:pPr>
            <w:r w:rsidRPr="00957E95">
              <w:rPr>
                <w:b/>
                <w:bCs/>
                <w:sz w:val="20"/>
                <w:szCs w:val="20"/>
              </w:rPr>
              <w:t>Additional characteristics:</w:t>
            </w:r>
          </w:p>
          <w:p w14:paraId="6EBAF818" w14:textId="05A8F851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80A80">
              <w:rPr>
                <w:sz w:val="20"/>
                <w:szCs w:val="20"/>
              </w:rPr>
              <w:t>Perineural invasion: Present.</w:t>
            </w:r>
          </w:p>
          <w:p w14:paraId="15CCB006" w14:textId="1918768C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proofErr w:type="spellStart"/>
            <w:r w:rsidRPr="00280A80">
              <w:rPr>
                <w:sz w:val="20"/>
                <w:szCs w:val="20"/>
              </w:rPr>
              <w:t>Lymphovascular</w:t>
            </w:r>
            <w:proofErr w:type="spellEnd"/>
            <w:r w:rsidRPr="00280A80">
              <w:rPr>
                <w:sz w:val="20"/>
                <w:szCs w:val="20"/>
              </w:rPr>
              <w:t xml:space="preserve"> invasion: Not identified.</w:t>
            </w:r>
          </w:p>
          <w:p w14:paraId="6889A108" w14:textId="1B87155E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80A80">
              <w:rPr>
                <w:sz w:val="20"/>
                <w:szCs w:val="20"/>
              </w:rPr>
              <w:t>Cribriform pattern: Present and extensive in high-grade disease areas (70%).</w:t>
            </w:r>
          </w:p>
          <w:p w14:paraId="02F39B5C" w14:textId="6D7E2BEC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80A80">
              <w:rPr>
                <w:sz w:val="20"/>
                <w:szCs w:val="20"/>
              </w:rPr>
              <w:t>CT scan (thorax, pelvis, and abdomen): confirms no enlarged lymph nodes or distant metastases.</w:t>
            </w:r>
          </w:p>
          <w:p w14:paraId="569BB7AA" w14:textId="4C76F0D1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80A80">
              <w:rPr>
                <w:sz w:val="20"/>
                <w:szCs w:val="20"/>
              </w:rPr>
              <w:t>Bone scan: Negative for bone metastases.</w:t>
            </w:r>
          </w:p>
          <w:p w14:paraId="26A4AA93" w14:textId="464A7041" w:rsidR="00687DA3" w:rsidRPr="00280A80" w:rsidRDefault="00687DA3" w:rsidP="00280A80">
            <w:pPr>
              <w:pStyle w:val="Prrafodelista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280A80">
              <w:rPr>
                <w:sz w:val="20"/>
                <w:szCs w:val="20"/>
              </w:rPr>
              <w:t xml:space="preserve">PET-CT with 18F-PSMA for further staging: Intense PSMA uptake in the left peripheral zone of the prostate corresponding to the MRI-identified lesion. Multifocal uptake with a </w:t>
            </w:r>
            <w:proofErr w:type="spellStart"/>
            <w:r w:rsidRPr="00280A80">
              <w:rPr>
                <w:sz w:val="20"/>
                <w:szCs w:val="20"/>
              </w:rPr>
              <w:t>SUVmax</w:t>
            </w:r>
            <w:proofErr w:type="spellEnd"/>
            <w:r w:rsidRPr="00280A80">
              <w:rPr>
                <w:sz w:val="20"/>
                <w:szCs w:val="20"/>
              </w:rPr>
              <w:t xml:space="preserve"> of 18. </w:t>
            </w:r>
            <w:proofErr w:type="spellStart"/>
            <w:r w:rsidRPr="00280A80">
              <w:rPr>
                <w:sz w:val="20"/>
                <w:szCs w:val="20"/>
              </w:rPr>
              <w:t>Subcentimeter</w:t>
            </w:r>
            <w:proofErr w:type="spellEnd"/>
            <w:r w:rsidRPr="00280A80">
              <w:rPr>
                <w:sz w:val="20"/>
                <w:szCs w:val="20"/>
              </w:rPr>
              <w:t xml:space="preserve"> lymph nodes in the bilateral pelvic region with mild uptake (</w:t>
            </w:r>
            <w:proofErr w:type="spellStart"/>
            <w:r w:rsidRPr="00280A80">
              <w:rPr>
                <w:sz w:val="20"/>
                <w:szCs w:val="20"/>
              </w:rPr>
              <w:t>SUVmax</w:t>
            </w:r>
            <w:proofErr w:type="spellEnd"/>
            <w:r w:rsidRPr="00280A80">
              <w:rPr>
                <w:sz w:val="20"/>
                <w:szCs w:val="20"/>
              </w:rPr>
              <w:t xml:space="preserve"> 2.3). These </w:t>
            </w:r>
            <w:r w:rsidRPr="00280A80">
              <w:rPr>
                <w:sz w:val="20"/>
                <w:szCs w:val="20"/>
              </w:rPr>
              <w:lastRenderedPageBreak/>
              <w:t>lymph nodes are probably reactive; no evidence of distant metastatic disease.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16309861" w14:textId="57F00D70" w:rsidR="00687DA3" w:rsidRPr="00C919DE" w:rsidRDefault="00687DA3" w:rsidP="0006320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 consensus (10%)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15285F2" w14:textId="4D3B2BF8" w:rsidR="00687DA3" w:rsidRPr="00C919DE" w:rsidRDefault="00687DA3" w:rsidP="00063202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5E98469" w14:textId="723D9D13" w:rsidR="00687DA3" w:rsidRPr="00C919DE" w:rsidRDefault="00687DA3" w:rsidP="00063202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(77.8%)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7B284089" w14:textId="76AD5A2C" w:rsidR="00687DA3" w:rsidRPr="001C1199" w:rsidRDefault="00687DA3" w:rsidP="00D71D71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Claude: </w:t>
            </w:r>
            <w:r w:rsidRPr="001C1199">
              <w:rPr>
                <w:color w:val="000000" w:themeColor="text1"/>
                <w:sz w:val="20"/>
                <w:szCs w:val="20"/>
              </w:rPr>
              <w:t>Assigns cT3a based on MRI, but staging should rely on digital rectal exam, as imaging is not validated for TNM.</w:t>
            </w:r>
          </w:p>
          <w:p w14:paraId="53834D11" w14:textId="790E777F" w:rsidR="00687DA3" w:rsidRPr="001C1199" w:rsidRDefault="00687DA3" w:rsidP="00D71D71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D106553" w14:textId="3D57CAE5" w:rsidR="00687DA3" w:rsidRPr="00687DA3" w:rsidRDefault="00687DA3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2097A531" w14:textId="290C0FAC" w:rsidTr="00687DA3">
        <w:tc>
          <w:tcPr>
            <w:tcW w:w="1799" w:type="pct"/>
          </w:tcPr>
          <w:p w14:paraId="7D4B116D" w14:textId="0AACD3AC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lastRenderedPageBreak/>
              <w:t xml:space="preserve">5.  </w:t>
            </w:r>
            <w:r w:rsidRPr="00C919DE">
              <w:rPr>
                <w:rFonts w:cs="Tahoma"/>
                <w:color w:val="404040"/>
                <w:sz w:val="20"/>
                <w:szCs w:val="20"/>
              </w:rPr>
              <w:t>What are the differences between PSMA PET tracers?</w:t>
            </w:r>
          </w:p>
          <w:p w14:paraId="624D95BB" w14:textId="3BF9B0FB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5760904" w14:textId="68FBDBE2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(70%)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C44AF61" w14:textId="401394A4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208D64E" w14:textId="1A694C02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2EB9C29E" w14:textId="0C1C569E" w:rsidR="00687DA3" w:rsidRPr="001C1199" w:rsidRDefault="00687DA3" w:rsidP="00E600A0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explains better than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and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but includes additional, unsolicited information.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EC21053" w14:textId="0CDA99E0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18212758" w14:textId="05F92E00" w:rsidTr="00687DA3">
        <w:tc>
          <w:tcPr>
            <w:tcW w:w="1799" w:type="pct"/>
          </w:tcPr>
          <w:p w14:paraId="74A90EB5" w14:textId="245961E4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 xml:space="preserve"> </w:t>
            </w:r>
            <w:r w:rsidRPr="00FE4A0F">
              <w:rPr>
                <w:sz w:val="20"/>
                <w:szCs w:val="20"/>
              </w:rPr>
              <w:t>What therapeutic options should be considered for the patient presented in question 4?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4A621A7" w14:textId="62A372E6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(77.8%)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4465CCB9" w14:textId="26F8EDBA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(66.6%)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106BB2DF" w14:textId="00ACB03E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(55.6%)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499EE4E2" w14:textId="77777777" w:rsidR="00687DA3" w:rsidRPr="001C1199" w:rsidRDefault="00687DA3" w:rsidP="00C1731E">
            <w:pPr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>: Summarizes all options without tailoring to the specific case and incorrectly assumes the patient has nodal disease.</w:t>
            </w:r>
          </w:p>
          <w:p w14:paraId="7230F898" w14:textId="08874CED" w:rsidR="00687DA3" w:rsidRPr="001C1199" w:rsidRDefault="00687DA3" w:rsidP="00C1731E">
            <w:pPr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ChatGPT: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Includes staging and radiotherapy details with several inaccuracies and controversial recommendations.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366746A" w14:textId="0524CDE5" w:rsidR="00687DA3" w:rsidRPr="00687DA3" w:rsidRDefault="00AF0AAD" w:rsidP="00687DA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6B66BA71" w14:textId="4C8CEC1C" w:rsidTr="00687DA3">
        <w:trPr>
          <w:trHeight w:val="65"/>
        </w:trPr>
        <w:tc>
          <w:tcPr>
            <w:tcW w:w="1799" w:type="pct"/>
          </w:tcPr>
          <w:p w14:paraId="4AEF284B" w14:textId="4A6D5F76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 xml:space="preserve">  </w:t>
            </w:r>
            <w:r w:rsidRPr="006A2849">
              <w:rPr>
                <w:sz w:val="20"/>
                <w:szCs w:val="20"/>
              </w:rPr>
              <w:t>In a patient on active surveillance with a stable MRI (PRECISE 3) and a low, stable PSA density (&lt; 0.15), what is the recommended strategy?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3E9B078" w14:textId="17AA4415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723C2A9" w14:textId="382F522F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1EFA9C8" w14:textId="536BF0E6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(88.9%)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1A7C6EA9" w14:textId="1BF34D46" w:rsidR="00687DA3" w:rsidRPr="001C1199" w:rsidRDefault="00687DA3" w:rsidP="00C1731E">
            <w:pPr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 xml:space="preserve">None of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the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three models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assess lesion visibility per PRECISE 3 v2.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554AD3B3" w14:textId="125C253C" w:rsidR="00687DA3" w:rsidRPr="00687DA3" w:rsidRDefault="00AF0AAD" w:rsidP="00687DA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74A691BF" w14:textId="32A85897" w:rsidTr="00687DA3">
        <w:tc>
          <w:tcPr>
            <w:tcW w:w="1799" w:type="pct"/>
          </w:tcPr>
          <w:p w14:paraId="5F0B823A" w14:textId="222DBC42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 xml:space="preserve"> </w:t>
            </w:r>
            <w:r w:rsidRPr="006F5CB7">
              <w:rPr>
                <w:sz w:val="20"/>
                <w:szCs w:val="20"/>
              </w:rPr>
              <w:t>When is prostate MRI recommended for diagnostic purposes?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78FCA9A" w14:textId="4F5D0F5F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1731E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round (90.9%)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25C667D" w14:textId="0B9052BE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DD49C81" w14:textId="4A367ABA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5B59FFB0" w14:textId="487E470E" w:rsidR="00687DA3" w:rsidRPr="001C1199" w:rsidRDefault="00687DA3" w:rsidP="002B26E6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Draws conclusions not supported by the guideline.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7F5B552B" w14:textId="43DF72D7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3DA04A50" w14:textId="6DDF5B4A" w:rsidTr="00687DA3">
        <w:tc>
          <w:tcPr>
            <w:tcW w:w="1799" w:type="pct"/>
          </w:tcPr>
          <w:p w14:paraId="35324B77" w14:textId="2B155A8D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 xml:space="preserve"> </w:t>
            </w:r>
            <w:r w:rsidRPr="006F5CB7">
              <w:rPr>
                <w:sz w:val="20"/>
                <w:szCs w:val="20"/>
              </w:rPr>
              <w:t>What does an extended lymphadenectomy in prostate cancer entail, and does it provide an oncological benefit over limited lymphadenectomy?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585F077" w14:textId="3B068CCF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E66F612" w14:textId="7BDBE5BB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EFAFF82" w14:textId="018842C5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366DB43C" w14:textId="77777777" w:rsidR="00687DA3" w:rsidRPr="001C1199" w:rsidRDefault="00687DA3" w:rsidP="00C1731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CBE0BB6" w14:textId="519E2BDC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3F9AE78B" w14:textId="11D41944" w:rsidTr="00687DA3">
        <w:tc>
          <w:tcPr>
            <w:tcW w:w="1799" w:type="pct"/>
          </w:tcPr>
          <w:p w14:paraId="494FB77A" w14:textId="02EA3A34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 xml:space="preserve"> </w:t>
            </w:r>
            <w:r w:rsidRPr="00443D28">
              <w:rPr>
                <w:sz w:val="20"/>
                <w:szCs w:val="20"/>
              </w:rPr>
              <w:t>What anatomical and functional factors favor urinary continence after radical prostatectomy?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23EAA0D" w14:textId="35351F3E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90E6953" w14:textId="1F81C9AD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(88.9%)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8EB5C43" w14:textId="259607C3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(88.9%)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3355ACCC" w14:textId="05933C6C" w:rsidR="00687DA3" w:rsidRPr="001C1199" w:rsidRDefault="00687DA3" w:rsidP="002E23AE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ChatGPT: </w:t>
            </w:r>
            <w:r w:rsidRPr="001C1199">
              <w:rPr>
                <w:color w:val="000000" w:themeColor="text1"/>
                <w:sz w:val="20"/>
                <w:szCs w:val="20"/>
              </w:rPr>
              <w:t>Provides the best summary among the three models, although all responses are valid.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0D9F882" w14:textId="769566E6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687DA3" w:rsidRPr="00C919DE" w14:paraId="7FA7FDEF" w14:textId="151F4C8D" w:rsidTr="00687DA3">
        <w:tc>
          <w:tcPr>
            <w:tcW w:w="1799" w:type="pct"/>
          </w:tcPr>
          <w:p w14:paraId="34B19870" w14:textId="364FF0B5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 xml:space="preserve"> </w:t>
            </w:r>
            <w:r w:rsidRPr="00310879">
              <w:rPr>
                <w:sz w:val="20"/>
                <w:szCs w:val="20"/>
              </w:rPr>
              <w:t>Criteria for active surveillance in prostate cancer and when to discontinue it and proceed to active treatment.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C31CB78" w14:textId="18AC4C2B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(70%)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D5778B6" w14:textId="5C82AB23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FBEA7D8" w14:textId="7F61BBC7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4C27DD52" w14:textId="5E943CE3" w:rsidR="00687DA3" w:rsidRPr="001C1199" w:rsidRDefault="00687DA3" w:rsidP="00B854F7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 xml:space="preserve">Difficult question due to variability across protocols;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provides the best version.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CC86EF9" w14:textId="607255DA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1ABE35BC" w14:textId="605637AC" w:rsidTr="00687DA3">
        <w:tc>
          <w:tcPr>
            <w:tcW w:w="1799" w:type="pct"/>
          </w:tcPr>
          <w:p w14:paraId="6AC5ADF6" w14:textId="512E5F3E" w:rsidR="00687DA3" w:rsidRPr="00C919DE" w:rsidRDefault="00687DA3" w:rsidP="007907F8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12.</w:t>
            </w:r>
            <w:r>
              <w:rPr>
                <w:sz w:val="20"/>
                <w:szCs w:val="20"/>
              </w:rPr>
              <w:t xml:space="preserve"> </w:t>
            </w:r>
            <w:r w:rsidRPr="0006545A">
              <w:rPr>
                <w:sz w:val="20"/>
                <w:szCs w:val="20"/>
              </w:rPr>
              <w:t>For patients with unfavorable intermediate-risk prostate cancer, which imaging tests should be used for staging?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3CAFA509" w14:textId="1023F02B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(63.6%)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95B2F0C" w14:textId="37EB4183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A28C4F5" w14:textId="1387506E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4E3B4823" w14:textId="26D1FA13" w:rsidR="00687DA3" w:rsidRPr="001C1199" w:rsidRDefault="00687DA3" w:rsidP="007907F8">
            <w:pPr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Fails to mention PET/CT.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66A2AD01" w14:textId="69F0A152" w:rsidR="00687DA3" w:rsidRPr="00687DA3" w:rsidRDefault="00AF0AAD" w:rsidP="00687DA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56C2A8A9" w14:textId="09D3F24F" w:rsidTr="00687DA3">
        <w:tc>
          <w:tcPr>
            <w:tcW w:w="1799" w:type="pct"/>
          </w:tcPr>
          <w:p w14:paraId="0E203DD9" w14:textId="740B1585" w:rsidR="00687DA3" w:rsidRPr="00C919DE" w:rsidRDefault="00687DA3" w:rsidP="007907F8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lastRenderedPageBreak/>
              <w:t>13.</w:t>
            </w:r>
            <w:r>
              <w:rPr>
                <w:sz w:val="20"/>
                <w:szCs w:val="20"/>
              </w:rPr>
              <w:t xml:space="preserve"> </w:t>
            </w:r>
            <w:r w:rsidRPr="00762482">
              <w:rPr>
                <w:sz w:val="20"/>
                <w:szCs w:val="20"/>
              </w:rPr>
              <w:t>How should imaging follow-up be performed in patients with metastatic hormone-sensitive prostate cancer treated with doublet therapy?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05F16B6D" w14:textId="6A7F7321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622778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(36.4%)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9B2F3EA" w14:textId="6D048431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1731E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round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1441E25" w14:textId="5A464E06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(81.8%)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6B8BDD30" w14:textId="00C792D6" w:rsidR="00687DA3" w:rsidRPr="001C1199" w:rsidRDefault="00687DA3" w:rsidP="00937BE8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>Controversial topic with no consensus; difficult for AI to reflect all expert opinions.</w:t>
            </w:r>
          </w:p>
          <w:p w14:paraId="0385DB7C" w14:textId="33B6168D" w:rsidR="00687DA3" w:rsidRPr="001C1199" w:rsidRDefault="00687DA3" w:rsidP="00937BE8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Claude: </w:t>
            </w:r>
            <w:r w:rsidRPr="001C1199">
              <w:rPr>
                <w:color w:val="000000" w:themeColor="text1"/>
                <w:sz w:val="20"/>
                <w:szCs w:val="20"/>
              </w:rPr>
              <w:t>Does not specify follow-up timing; incorrectly recommends PSMA-PET/CT as the standard for follow-up.</w:t>
            </w:r>
          </w:p>
          <w:p w14:paraId="4C9CAD0D" w14:textId="77777777" w:rsidR="00687DA3" w:rsidRPr="001C1199" w:rsidRDefault="00687DA3" w:rsidP="00937BE8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>: States follow-up every 3–6 months, which could imply 6-month intervals are acceptable when they are not.</w:t>
            </w:r>
          </w:p>
          <w:p w14:paraId="0B4E3E5D" w14:textId="2FF5EC5E" w:rsidR="00687DA3" w:rsidRPr="001C1199" w:rsidRDefault="00687DA3" w:rsidP="00937BE8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</w:t>
            </w:r>
            <w:r w:rsidRPr="001C1199">
              <w:rPr>
                <w:color w:val="000000" w:themeColor="text1"/>
                <w:sz w:val="20"/>
                <w:szCs w:val="20"/>
              </w:rPr>
              <w:t>: does not specify follow-up intervals.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303663E" w14:textId="075E38A5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4F11393F" w14:textId="54760C13" w:rsidTr="00687DA3">
        <w:tc>
          <w:tcPr>
            <w:tcW w:w="1799" w:type="pct"/>
          </w:tcPr>
          <w:p w14:paraId="04CD30E4" w14:textId="7C0C5147" w:rsidR="00687DA3" w:rsidRPr="00C919DE" w:rsidRDefault="00687DA3" w:rsidP="007907F8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</w:rPr>
              <w:t xml:space="preserve"> </w:t>
            </w:r>
            <w:r w:rsidRPr="00762482">
              <w:rPr>
                <w:sz w:val="20"/>
                <w:szCs w:val="20"/>
              </w:rPr>
              <w:t>What are the differences between LHRH agonists and androgen receptor inhibitors in terms of efficacy and side effects?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4ED957F8" w14:textId="2BEE976F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622778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(66.6%)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310A754" w14:textId="3C392C25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(77.8%)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30EFFA03" w14:textId="5B953C77" w:rsidR="00687DA3" w:rsidRPr="00C919DE" w:rsidRDefault="00687DA3" w:rsidP="007907F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consensus (44.4%)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7CBE5A37" w14:textId="1F4F27BA" w:rsidR="00687DA3" w:rsidRPr="001C1199" w:rsidRDefault="00687DA3" w:rsidP="002B3AE7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Claude </w:t>
            </w:r>
            <w:r w:rsidRPr="001C1199">
              <w:rPr>
                <w:color w:val="000000" w:themeColor="text1"/>
                <w:sz w:val="20"/>
                <w:szCs w:val="20"/>
              </w:rPr>
              <w:t>and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 ChatGPT</w:t>
            </w:r>
            <w:r w:rsidRPr="001C1199">
              <w:rPr>
                <w:color w:val="000000" w:themeColor="text1"/>
                <w:sz w:val="20"/>
                <w:szCs w:val="20"/>
              </w:rPr>
              <w:t>: Fail to address the question fully; includes unrelated content.</w:t>
            </w:r>
          </w:p>
          <w:p w14:paraId="4C1F988C" w14:textId="4924AEB5" w:rsidR="00687DA3" w:rsidRPr="001C1199" w:rsidRDefault="00687DA3" w:rsidP="002B3AE7">
            <w:pPr>
              <w:contextualSpacing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FBA0D8B" w14:textId="3B5ED28F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5E0E9A24" w14:textId="2FA662C4" w:rsidTr="00687DA3">
        <w:tc>
          <w:tcPr>
            <w:tcW w:w="1799" w:type="pct"/>
          </w:tcPr>
          <w:p w14:paraId="62CDF3F6" w14:textId="524BBF0B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 xml:space="preserve"> </w:t>
            </w:r>
            <w:r w:rsidRPr="00762482">
              <w:rPr>
                <w:sz w:val="20"/>
                <w:szCs w:val="20"/>
              </w:rPr>
              <w:t>In a 79-year-old patient with de novo metastatic hormone-sensitive prostate cancer, PSA 40 ng/mL, 4 bone metastases, ISUP 4, and comorbidities including hypertension, type 2 diabetes, and early dementia, according to the EAU guidelines, what pharmacological treatment options are recommended, and what are the advantages and disadvantages of each considering the patient’s overall health and comorbidities?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6C5AC" w:themeFill="accent2" w:themeFillTint="66"/>
          </w:tcPr>
          <w:p w14:paraId="1215088D" w14:textId="62FC53E6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7907F8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round disagreement (88.9%)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BF5B714" w14:textId="663D494E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(77.8%)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C7D5A66" w14:textId="47557409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C1731E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round (88.9%)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158A3C7A" w14:textId="5A888CCD" w:rsidR="00687DA3" w:rsidRPr="001C1199" w:rsidRDefault="00687DA3" w:rsidP="009A666B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>Question not explicitly addressed in guidelines; requires significant clinical context to answer.</w:t>
            </w:r>
          </w:p>
          <w:p w14:paraId="7F095D00" w14:textId="54211E0A" w:rsidR="00687DA3" w:rsidRPr="001C1199" w:rsidRDefault="00687DA3" w:rsidP="009A666B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Supports ADT + docetaxel, but current guidance favors triplet therapy if docetaxel is used.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D27C7CE" w14:textId="2F6F6008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49D9DEB4" w14:textId="1A28F212" w:rsidTr="00687DA3">
        <w:tc>
          <w:tcPr>
            <w:tcW w:w="1799" w:type="pct"/>
          </w:tcPr>
          <w:p w14:paraId="713C3BDB" w14:textId="0D11F7D0" w:rsidR="00687DA3" w:rsidRPr="00C919DE" w:rsidRDefault="00687DA3" w:rsidP="00883994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</w:rPr>
              <w:t xml:space="preserve"> </w:t>
            </w:r>
            <w:r w:rsidRPr="00762482">
              <w:rPr>
                <w:sz w:val="20"/>
                <w:szCs w:val="20"/>
              </w:rPr>
              <w:t>I have a patient in a follow-up visit with a prostate biopsy performed by fusion targeting only the lesion. The result is ISUP 1 in all 3 cores submitted. Should I have taken systematic or perilesional cores? Should I repeat the biopsy?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ED1262A" w14:textId="3E5882D2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(90%)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8B1D86D" w14:textId="4442B1A9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9C885CB" w14:textId="50A728DB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5A734613" w14:textId="77777777" w:rsidR="00687DA3" w:rsidRPr="001C1199" w:rsidRDefault="00687DA3" w:rsidP="001C23D6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>Question not explicitly addressed in guidelines; requires significant clinical context to answer.</w:t>
            </w:r>
          </w:p>
          <w:p w14:paraId="69C4CB22" w14:textId="2C8E93E3" w:rsidR="00687DA3" w:rsidRPr="001C1199" w:rsidRDefault="00687DA3" w:rsidP="00850341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The three models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contain inaccuracies and lack clarity regarding biopsy recommendations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FDB53EA" w14:textId="0E5C90C0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4BE43496" w14:textId="0C2EF467" w:rsidTr="00687DA3">
        <w:tc>
          <w:tcPr>
            <w:tcW w:w="1799" w:type="pct"/>
          </w:tcPr>
          <w:p w14:paraId="464173D6" w14:textId="349FD404" w:rsidR="00687DA3" w:rsidRPr="00C919DE" w:rsidRDefault="00687DA3" w:rsidP="00883994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17.</w:t>
            </w:r>
            <w:r>
              <w:rPr>
                <w:sz w:val="20"/>
                <w:szCs w:val="20"/>
              </w:rPr>
              <w:t xml:space="preserve"> </w:t>
            </w:r>
            <w:r w:rsidRPr="00762482">
              <w:rPr>
                <w:sz w:val="20"/>
                <w:szCs w:val="20"/>
              </w:rPr>
              <w:t>A patient receiving apalutamide presents to the clinic with pruritus and erythema on the chest and upper limbs. How should I manage this? Should I reduce the dose? Should I prescribe an antihistamine?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5805A76A" w14:textId="6A277556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(66.6%)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6BF48311" w14:textId="1C06CE4B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(44.4%)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1E552328" w14:textId="1025B85B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  <w:vertAlign w:val="superscript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(55.6%)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67A7B6C9" w14:textId="1DDD057F" w:rsidR="00687DA3" w:rsidRPr="001C1199" w:rsidRDefault="00687DA3" w:rsidP="000A49A3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>Question not explicitly addressed in guidelines; requires significant clinical context to answer.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0062D655" w14:textId="4618EC91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1262118F" w14:textId="6AC53638" w:rsidTr="00687DA3">
        <w:tc>
          <w:tcPr>
            <w:tcW w:w="1799" w:type="pct"/>
          </w:tcPr>
          <w:p w14:paraId="0CC24872" w14:textId="7DE63625" w:rsidR="00687DA3" w:rsidRPr="00C919DE" w:rsidRDefault="00687DA3" w:rsidP="00C1731E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18.</w:t>
            </w:r>
            <w:r>
              <w:rPr>
                <w:sz w:val="20"/>
                <w:szCs w:val="20"/>
              </w:rPr>
              <w:t xml:space="preserve"> </w:t>
            </w:r>
            <w:r w:rsidRPr="00554764">
              <w:rPr>
                <w:sz w:val="20"/>
                <w:szCs w:val="20"/>
              </w:rPr>
              <w:t>An 83-year-old male on multiple medications, PSA 18, with imaging studies showing bone metastases. What steps should I take before choosing treatment in this patient?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1461EAC0" w14:textId="158A79F4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(50%)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B77771C" w14:textId="35AB53CA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FFFF00"/>
          </w:tcPr>
          <w:p w14:paraId="012118DC" w14:textId="7B825B4F" w:rsidR="00687DA3" w:rsidRPr="00C919DE" w:rsidRDefault="00687DA3" w:rsidP="00C1731E">
            <w:pPr>
              <w:contextualSpacing/>
              <w:jc w:val="center"/>
              <w:rPr>
                <w:sz w:val="20"/>
                <w:szCs w:val="20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(60%)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2859AD3A" w14:textId="5F819777" w:rsidR="00687DA3" w:rsidRPr="001C1199" w:rsidRDefault="00687DA3" w:rsidP="00804D8F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color w:val="000000" w:themeColor="text1"/>
                <w:sz w:val="20"/>
                <w:szCs w:val="20"/>
              </w:rPr>
              <w:t>The question lacks clinical information. None of the three models considers prior biopsy as a necessary step.</w:t>
            </w:r>
          </w:p>
          <w:p w14:paraId="56E23545" w14:textId="77777777" w:rsidR="00687DA3" w:rsidRPr="001C1199" w:rsidRDefault="00687DA3" w:rsidP="00804D8F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Claude: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Inappropriate use of PSMA-PET outside guideline recommendations</w:t>
            </w:r>
          </w:p>
          <w:p w14:paraId="5C7FBB3C" w14:textId="047606E9" w:rsidR="00687DA3" w:rsidRPr="001C1199" w:rsidRDefault="00687DA3" w:rsidP="00804D8F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ChatGPT: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misrepresents evidence for darolutamide use outside triplet therapy context.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ABDFD28" w14:textId="4141BA41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</w:tr>
      <w:tr w:rsidR="00687DA3" w:rsidRPr="00C919DE" w14:paraId="47074407" w14:textId="55A59E27" w:rsidTr="00687DA3">
        <w:tc>
          <w:tcPr>
            <w:tcW w:w="1799" w:type="pct"/>
          </w:tcPr>
          <w:p w14:paraId="5748614E" w14:textId="0DE2D25D" w:rsidR="00687DA3" w:rsidRPr="00C919DE" w:rsidRDefault="00687DA3" w:rsidP="00883994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19.</w:t>
            </w:r>
            <w:r>
              <w:rPr>
                <w:sz w:val="20"/>
                <w:szCs w:val="20"/>
              </w:rPr>
              <w:t xml:space="preserve"> </w:t>
            </w:r>
            <w:r w:rsidRPr="00554764">
              <w:rPr>
                <w:sz w:val="20"/>
                <w:szCs w:val="20"/>
              </w:rPr>
              <w:t>In what situations would bone densitometry be indicated in a patient with prostate cancer?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EC9DCAF" w14:textId="06DAE5E0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123D5E6" w14:textId="0C1999DB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6D1DED4" w14:textId="13570799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(90.9%)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23290373" w14:textId="01C179B2" w:rsidR="00687DA3" w:rsidRPr="001C1199" w:rsidRDefault="00687DA3" w:rsidP="00883994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DB127F7" w14:textId="7A5B97D7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4A0207DB" w14:textId="20571ADB" w:rsidTr="00687DA3">
        <w:tc>
          <w:tcPr>
            <w:tcW w:w="1799" w:type="pct"/>
          </w:tcPr>
          <w:p w14:paraId="7CC99FB3" w14:textId="3CFFE014" w:rsidR="00687DA3" w:rsidRPr="00C919DE" w:rsidRDefault="00687DA3" w:rsidP="00883994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20.</w:t>
            </w:r>
            <w:r>
              <w:rPr>
                <w:sz w:val="20"/>
                <w:szCs w:val="20"/>
              </w:rPr>
              <w:t xml:space="preserve"> </w:t>
            </w:r>
            <w:r w:rsidRPr="00554764">
              <w:rPr>
                <w:sz w:val="20"/>
                <w:szCs w:val="20"/>
              </w:rPr>
              <w:t>For a 57-year-old patient diagnosed with prostate adenocarcinoma Gleason 7 (3+4) / ISUP 2, cT2a, PSA 11 ng/mL, and no comorbidities, what would be the best treatment option?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FFF00"/>
          </w:tcPr>
          <w:p w14:paraId="5E008A17" w14:textId="370D3D50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AC4EA5">
              <w:rPr>
                <w:sz w:val="20"/>
                <w:szCs w:val="20"/>
              </w:rPr>
              <w:t>No consensus</w:t>
            </w:r>
            <w:r>
              <w:rPr>
                <w:sz w:val="20"/>
                <w:szCs w:val="20"/>
              </w:rPr>
              <w:t xml:space="preserve"> (40%)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5BE7C21" w14:textId="30E547F7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(90%)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07ACEDC9" w14:textId="452D3679" w:rsidR="00687DA3" w:rsidRPr="00C919DE" w:rsidRDefault="00687DA3" w:rsidP="00883994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06B25397" w14:textId="6E5E35A8" w:rsidR="00687DA3" w:rsidRPr="001C1199" w:rsidRDefault="00687DA3" w:rsidP="00F57079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</w:t>
            </w:r>
            <w:r w:rsidRPr="001C1199">
              <w:rPr>
                <w:color w:val="000000" w:themeColor="text1"/>
              </w:rPr>
              <w:t xml:space="preserve"> </w:t>
            </w:r>
            <w:r w:rsidRPr="001C1199">
              <w:rPr>
                <w:color w:val="000000" w:themeColor="text1"/>
                <w:sz w:val="20"/>
                <w:szCs w:val="20"/>
              </w:rPr>
              <w:t>Fails to consider radiotherapy as a treatment option.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48ADFB28" w14:textId="23D2D9AC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2488B30D" w14:textId="5588FED4" w:rsidTr="00687DA3">
        <w:tc>
          <w:tcPr>
            <w:tcW w:w="1799" w:type="pct"/>
          </w:tcPr>
          <w:p w14:paraId="3192F7EA" w14:textId="48415307" w:rsidR="00687DA3" w:rsidRPr="00C919DE" w:rsidRDefault="00687DA3" w:rsidP="00F10F6B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21.</w:t>
            </w:r>
            <w:r>
              <w:rPr>
                <w:sz w:val="20"/>
                <w:szCs w:val="20"/>
              </w:rPr>
              <w:t xml:space="preserve"> </w:t>
            </w:r>
            <w:r w:rsidRPr="00A74172">
              <w:rPr>
                <w:sz w:val="20"/>
                <w:szCs w:val="20"/>
              </w:rPr>
              <w:t>What is the recommended management for low-risk biochemical recurrence in prostate cancer according to the European Urology Guidelines?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6E3DA0C0" w14:textId="4038219A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D4CD04C" w14:textId="2A00ED52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6DFD8B1" w14:textId="35F017B6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0B4F81F4" w14:textId="39193C19" w:rsidR="00687DA3" w:rsidRPr="001C1199" w:rsidRDefault="00687DA3" w:rsidP="00910C24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ChatGPT</w:t>
            </w:r>
            <w:r w:rsidRPr="001C1199">
              <w:rPr>
                <w:color w:val="000000" w:themeColor="text1"/>
                <w:sz w:val="20"/>
                <w:szCs w:val="20"/>
              </w:rPr>
              <w:t>: Fails to address biochemical recurrence after radiotherapy; response is vague and includes unnecessary information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03A4E7EE" w14:textId="752BBAAC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3D831FA5" w14:textId="686251ED" w:rsidTr="00687DA3">
        <w:tc>
          <w:tcPr>
            <w:tcW w:w="1799" w:type="pct"/>
          </w:tcPr>
          <w:p w14:paraId="2B49CEC5" w14:textId="55495D29" w:rsidR="00687DA3" w:rsidRPr="00C919DE" w:rsidRDefault="00687DA3" w:rsidP="00F10F6B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22.</w:t>
            </w:r>
            <w:r>
              <w:rPr>
                <w:sz w:val="20"/>
                <w:szCs w:val="20"/>
              </w:rPr>
              <w:t xml:space="preserve"> </w:t>
            </w:r>
            <w:r w:rsidRPr="0086789E">
              <w:rPr>
                <w:sz w:val="20"/>
                <w:szCs w:val="20"/>
              </w:rPr>
              <w:t>What is the criterion for defining biochemical recurrence after radical prostatectomy?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98E1543" w14:textId="1E41CFD1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(81.8%)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AD27FEE" w14:textId="088768EA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10F6B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</w:t>
            </w:r>
            <w:r w:rsidRPr="00893C4B">
              <w:rPr>
                <w:sz w:val="20"/>
                <w:szCs w:val="20"/>
              </w:rPr>
              <w:t>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2882D070" w14:textId="6E415344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630D1541" w14:textId="77777777" w:rsidR="00687DA3" w:rsidRPr="001C1199" w:rsidRDefault="00687DA3" w:rsidP="005C73E9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Definition is unclear, mixes PSA persistence with recurrence.</w:t>
            </w:r>
          </w:p>
          <w:p w14:paraId="1CA77C5D" w14:textId="3DE358EA" w:rsidR="00687DA3" w:rsidRPr="001C1199" w:rsidRDefault="00687DA3" w:rsidP="007843B9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EEDE158" w14:textId="482CFA50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687DA3" w:rsidRPr="00C919DE" w14:paraId="03050391" w14:textId="26EAA431" w:rsidTr="00687DA3">
        <w:tc>
          <w:tcPr>
            <w:tcW w:w="1799" w:type="pct"/>
          </w:tcPr>
          <w:p w14:paraId="6A61D74D" w14:textId="663B8C0A" w:rsidR="00687DA3" w:rsidRPr="00C919DE" w:rsidRDefault="00687DA3" w:rsidP="00CB76E5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</w:rPr>
              <w:t xml:space="preserve"> </w:t>
            </w:r>
            <w:r w:rsidRPr="0086789E">
              <w:rPr>
                <w:sz w:val="20"/>
                <w:szCs w:val="20"/>
              </w:rPr>
              <w:t>What initial treatment option would you recommend for a patient diagnosed with locally advanced cN1 prostate cancer?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6C5AC" w:themeFill="accent2" w:themeFillTint="66"/>
          </w:tcPr>
          <w:p w14:paraId="468DA76C" w14:textId="5DBB712D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B05B01">
              <w:rPr>
                <w:sz w:val="20"/>
                <w:szCs w:val="20"/>
              </w:rPr>
              <w:t>2</w:t>
            </w:r>
            <w:r w:rsidRPr="00B05B01">
              <w:rPr>
                <w:sz w:val="20"/>
                <w:szCs w:val="20"/>
                <w:vertAlign w:val="superscript"/>
              </w:rPr>
              <w:t>nd</w:t>
            </w:r>
            <w:r w:rsidRPr="00B05B01">
              <w:rPr>
                <w:sz w:val="20"/>
                <w:szCs w:val="20"/>
              </w:rPr>
              <w:t xml:space="preserve"> round disagreement</w:t>
            </w:r>
            <w:r>
              <w:rPr>
                <w:sz w:val="20"/>
                <w:szCs w:val="20"/>
              </w:rPr>
              <w:t xml:space="preserve"> (88.9%)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435CBD24" w14:textId="29C9BD65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872108">
              <w:rPr>
                <w:sz w:val="20"/>
                <w:szCs w:val="20"/>
              </w:rPr>
              <w:t>1</w:t>
            </w:r>
            <w:r w:rsidRPr="00872108">
              <w:rPr>
                <w:sz w:val="20"/>
                <w:szCs w:val="20"/>
                <w:vertAlign w:val="superscript"/>
              </w:rPr>
              <w:t>st</w:t>
            </w:r>
            <w:r w:rsidRPr="0087210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57D0DEED" w14:textId="067BF4D9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872108">
              <w:rPr>
                <w:sz w:val="20"/>
                <w:szCs w:val="20"/>
              </w:rPr>
              <w:t>1</w:t>
            </w:r>
            <w:r w:rsidRPr="00872108">
              <w:rPr>
                <w:sz w:val="20"/>
                <w:szCs w:val="20"/>
                <w:vertAlign w:val="superscript"/>
              </w:rPr>
              <w:t>st</w:t>
            </w:r>
            <w:r w:rsidRPr="0087210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12B2DB16" w14:textId="1B4275F0" w:rsidR="00687DA3" w:rsidRPr="001C1199" w:rsidRDefault="00687DA3" w:rsidP="007843B9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Incorrect management approach.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12A9C09F" w14:textId="06F7C66E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687DA3" w:rsidRPr="00C919DE" w14:paraId="5B301E34" w14:textId="154F5EEB" w:rsidTr="00687DA3">
        <w:tc>
          <w:tcPr>
            <w:tcW w:w="1799" w:type="pct"/>
          </w:tcPr>
          <w:p w14:paraId="72668081" w14:textId="2E53B9FD" w:rsidR="00687DA3" w:rsidRPr="00C919DE" w:rsidRDefault="00687DA3" w:rsidP="00CB76E5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24.</w:t>
            </w:r>
            <w:r>
              <w:rPr>
                <w:sz w:val="20"/>
                <w:szCs w:val="20"/>
              </w:rPr>
              <w:t xml:space="preserve"> </w:t>
            </w:r>
            <w:r w:rsidRPr="0086789E">
              <w:rPr>
                <w:sz w:val="20"/>
                <w:szCs w:val="20"/>
              </w:rPr>
              <w:t>I have localized prostate cancer with a PSA of 10 and my cousin has prostate cancer. I am worried; do I need a genetic test?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F6C5AC" w:themeFill="accent2" w:themeFillTint="66"/>
          </w:tcPr>
          <w:p w14:paraId="615CC2DC" w14:textId="2F2F9C4A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B05B01">
              <w:rPr>
                <w:sz w:val="20"/>
                <w:szCs w:val="20"/>
              </w:rPr>
              <w:t>2</w:t>
            </w:r>
            <w:r w:rsidRPr="00B05B01">
              <w:rPr>
                <w:sz w:val="20"/>
                <w:szCs w:val="20"/>
                <w:vertAlign w:val="superscript"/>
              </w:rPr>
              <w:t>nd</w:t>
            </w:r>
            <w:r w:rsidRPr="00B05B01">
              <w:rPr>
                <w:sz w:val="20"/>
                <w:szCs w:val="20"/>
              </w:rPr>
              <w:t xml:space="preserve"> round disagreement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3EAC5534" w14:textId="728602D6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872108">
              <w:rPr>
                <w:sz w:val="20"/>
                <w:szCs w:val="20"/>
              </w:rPr>
              <w:t>1</w:t>
            </w:r>
            <w:r w:rsidRPr="00872108">
              <w:rPr>
                <w:sz w:val="20"/>
                <w:szCs w:val="20"/>
                <w:vertAlign w:val="superscript"/>
              </w:rPr>
              <w:t>st</w:t>
            </w:r>
            <w:r w:rsidRPr="0087210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(90%)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44D7937" w14:textId="5BA435F4" w:rsidR="00687DA3" w:rsidRPr="00C919DE" w:rsidRDefault="00687DA3" w:rsidP="00CB76E5">
            <w:pPr>
              <w:contextualSpacing/>
              <w:jc w:val="center"/>
              <w:rPr>
                <w:sz w:val="20"/>
                <w:szCs w:val="20"/>
              </w:rPr>
            </w:pPr>
            <w:r w:rsidRPr="00872108">
              <w:rPr>
                <w:sz w:val="20"/>
                <w:szCs w:val="20"/>
              </w:rPr>
              <w:t>1</w:t>
            </w:r>
            <w:r w:rsidRPr="00872108">
              <w:rPr>
                <w:sz w:val="20"/>
                <w:szCs w:val="20"/>
                <w:vertAlign w:val="superscript"/>
              </w:rPr>
              <w:t>st</w:t>
            </w:r>
            <w:r w:rsidRPr="00872108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(80%)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714C8796" w14:textId="19ED636F" w:rsidR="00687DA3" w:rsidRPr="001C1199" w:rsidRDefault="00687DA3" w:rsidP="005C7163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>: Incorrect management approach.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20F917F8" w14:textId="15BAA6F9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</w:tr>
      <w:tr w:rsidR="00687DA3" w:rsidRPr="00C919DE" w14:paraId="18B92FD0" w14:textId="0F193A39" w:rsidTr="00687DA3">
        <w:tc>
          <w:tcPr>
            <w:tcW w:w="1799" w:type="pct"/>
          </w:tcPr>
          <w:p w14:paraId="753512F3" w14:textId="46BE9060" w:rsidR="00687DA3" w:rsidRPr="00C919DE" w:rsidRDefault="00687DA3" w:rsidP="00F10F6B">
            <w:pPr>
              <w:contextualSpacing/>
              <w:rPr>
                <w:sz w:val="20"/>
                <w:szCs w:val="20"/>
              </w:rPr>
            </w:pPr>
            <w:r w:rsidRPr="00C919DE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 xml:space="preserve">. </w:t>
            </w:r>
            <w:r w:rsidRPr="009756E8">
              <w:rPr>
                <w:sz w:val="20"/>
                <w:szCs w:val="20"/>
              </w:rPr>
              <w:t>I have prostate cancer 4+3=7 in 1 out of 12 cores. Can I be included in an active surveillance protocol?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1024DEFA" w14:textId="091AA06F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1731E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round (90.9%)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18AE978" w14:textId="0A483AAA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(100%)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B3E5A1" w:themeFill="accent6" w:themeFillTint="66"/>
          </w:tcPr>
          <w:p w14:paraId="792B99D3" w14:textId="401068B7" w:rsidR="00687DA3" w:rsidRPr="00C919DE" w:rsidRDefault="00687DA3" w:rsidP="00F10F6B">
            <w:pPr>
              <w:contextualSpacing/>
              <w:jc w:val="center"/>
              <w:rPr>
                <w:sz w:val="20"/>
                <w:szCs w:val="20"/>
              </w:rPr>
            </w:pPr>
            <w:r w:rsidRPr="00893C4B">
              <w:rPr>
                <w:sz w:val="20"/>
                <w:szCs w:val="20"/>
              </w:rPr>
              <w:t>1</w:t>
            </w:r>
            <w:r w:rsidRPr="00893C4B">
              <w:rPr>
                <w:sz w:val="20"/>
                <w:szCs w:val="20"/>
                <w:vertAlign w:val="superscript"/>
              </w:rPr>
              <w:t>st</w:t>
            </w:r>
            <w:r w:rsidRPr="00893C4B">
              <w:rPr>
                <w:sz w:val="20"/>
                <w:szCs w:val="20"/>
              </w:rPr>
              <w:t xml:space="preserve"> round</w:t>
            </w:r>
            <w:r>
              <w:rPr>
                <w:sz w:val="20"/>
                <w:szCs w:val="20"/>
              </w:rPr>
              <w:t xml:space="preserve"> (72.7%)</w:t>
            </w:r>
          </w:p>
        </w:tc>
        <w:tc>
          <w:tcPr>
            <w:tcW w:w="1429" w:type="pct"/>
            <w:tcBorders>
              <w:bottom w:val="single" w:sz="4" w:space="0" w:color="auto"/>
            </w:tcBorders>
          </w:tcPr>
          <w:p w14:paraId="68E7CF69" w14:textId="75F2F4F1" w:rsidR="00687DA3" w:rsidRPr="001C1199" w:rsidRDefault="00687DA3" w:rsidP="002927D6">
            <w:pPr>
              <w:contextualSpacing/>
              <w:jc w:val="left"/>
              <w:rPr>
                <w:color w:val="000000" w:themeColor="text1"/>
                <w:sz w:val="20"/>
                <w:szCs w:val="20"/>
              </w:rPr>
            </w:pP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Claude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and </w:t>
            </w:r>
            <w:r w:rsidRPr="001C1199">
              <w:rPr>
                <w:b/>
                <w:bCs/>
                <w:color w:val="000000" w:themeColor="text1"/>
                <w:sz w:val="20"/>
                <w:szCs w:val="20"/>
              </w:rPr>
              <w:t>Gemini</w:t>
            </w:r>
            <w:r w:rsidRPr="001C1199">
              <w:rPr>
                <w:color w:val="000000" w:themeColor="text1"/>
                <w:sz w:val="20"/>
                <w:szCs w:val="20"/>
              </w:rPr>
              <w:t xml:space="preserve"> provide clearer answers than ChatGPT.</w:t>
            </w:r>
          </w:p>
        </w:tc>
        <w:tc>
          <w:tcPr>
            <w:tcW w:w="400" w:type="pct"/>
            <w:tcBorders>
              <w:bottom w:val="single" w:sz="4" w:space="0" w:color="auto"/>
            </w:tcBorders>
          </w:tcPr>
          <w:p w14:paraId="55DB47DD" w14:textId="52E55EC5" w:rsidR="00687DA3" w:rsidRPr="00687DA3" w:rsidRDefault="00AF0AAD" w:rsidP="00687DA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</w:tbl>
    <w:bookmarkEnd w:id="1"/>
    <w:p w14:paraId="377A09F2" w14:textId="5400AC2B" w:rsidR="00C33AF6" w:rsidRDefault="00F70DC3" w:rsidP="00FA4E63">
      <w:pPr>
        <w:spacing w:line="240" w:lineRule="auto"/>
        <w:ind w:right="-44"/>
        <w:contextualSpacing/>
        <w:jc w:val="left"/>
        <w:rPr>
          <w:sz w:val="20"/>
          <w:szCs w:val="20"/>
        </w:rPr>
      </w:pPr>
      <w:r w:rsidRPr="00C919DE">
        <w:rPr>
          <w:sz w:val="20"/>
          <w:szCs w:val="20"/>
        </w:rPr>
        <w:t xml:space="preserve">Abbreviations: </w:t>
      </w:r>
      <w:r w:rsidR="00827953" w:rsidRPr="00827953">
        <w:rPr>
          <w:sz w:val="20"/>
          <w:szCs w:val="20"/>
        </w:rPr>
        <w:t>177Lu-PSMA</w:t>
      </w:r>
      <w:r w:rsidR="00827953">
        <w:rPr>
          <w:sz w:val="20"/>
          <w:szCs w:val="20"/>
        </w:rPr>
        <w:t>,</w:t>
      </w:r>
      <w:r w:rsidR="00827953" w:rsidRPr="00827953">
        <w:rPr>
          <w:sz w:val="20"/>
          <w:szCs w:val="20"/>
        </w:rPr>
        <w:t xml:space="preserve"> Lutetium-177 Prostate-Specific Membrane Antigen</w:t>
      </w:r>
      <w:r w:rsidR="00827953">
        <w:rPr>
          <w:sz w:val="20"/>
          <w:szCs w:val="20"/>
        </w:rPr>
        <w:t>;</w:t>
      </w:r>
      <w:r w:rsidR="00827953" w:rsidRPr="00827953">
        <w:rPr>
          <w:sz w:val="20"/>
          <w:szCs w:val="20"/>
        </w:rPr>
        <w:t xml:space="preserve"> </w:t>
      </w:r>
      <w:r w:rsidR="009A666B">
        <w:rPr>
          <w:sz w:val="20"/>
          <w:szCs w:val="20"/>
        </w:rPr>
        <w:t xml:space="preserve">ADT, </w:t>
      </w:r>
      <w:r w:rsidR="009A666B" w:rsidRPr="009A666B">
        <w:rPr>
          <w:sz w:val="20"/>
          <w:szCs w:val="20"/>
        </w:rPr>
        <w:t>Androgen Deprivation Therapy</w:t>
      </w:r>
      <w:r w:rsidR="009A666B">
        <w:rPr>
          <w:sz w:val="20"/>
          <w:szCs w:val="20"/>
        </w:rPr>
        <w:t xml:space="preserve">; </w:t>
      </w:r>
      <w:r w:rsidR="00827953">
        <w:rPr>
          <w:sz w:val="20"/>
          <w:szCs w:val="20"/>
        </w:rPr>
        <w:t>ARPI, A</w:t>
      </w:r>
      <w:r w:rsidR="00827953" w:rsidRPr="00827953">
        <w:rPr>
          <w:sz w:val="20"/>
          <w:szCs w:val="20"/>
        </w:rPr>
        <w:t xml:space="preserve">ndrogen </w:t>
      </w:r>
      <w:r w:rsidR="00827953">
        <w:rPr>
          <w:sz w:val="20"/>
          <w:szCs w:val="20"/>
        </w:rPr>
        <w:t>R</w:t>
      </w:r>
      <w:r w:rsidR="00827953" w:rsidRPr="00827953">
        <w:rPr>
          <w:sz w:val="20"/>
          <w:szCs w:val="20"/>
        </w:rPr>
        <w:t xml:space="preserve">eceptor </w:t>
      </w:r>
      <w:r w:rsidR="00827953">
        <w:rPr>
          <w:sz w:val="20"/>
          <w:szCs w:val="20"/>
        </w:rPr>
        <w:t>P</w:t>
      </w:r>
      <w:r w:rsidR="00827953" w:rsidRPr="00827953">
        <w:rPr>
          <w:sz w:val="20"/>
          <w:szCs w:val="20"/>
        </w:rPr>
        <w:t xml:space="preserve">athway </w:t>
      </w:r>
      <w:r w:rsidR="00827953">
        <w:rPr>
          <w:sz w:val="20"/>
          <w:szCs w:val="20"/>
        </w:rPr>
        <w:t>I</w:t>
      </w:r>
      <w:r w:rsidR="00827953" w:rsidRPr="00827953">
        <w:rPr>
          <w:sz w:val="20"/>
          <w:szCs w:val="20"/>
        </w:rPr>
        <w:t>nhibitor</w:t>
      </w:r>
      <w:r w:rsidR="00827953">
        <w:rPr>
          <w:sz w:val="20"/>
          <w:szCs w:val="20"/>
        </w:rPr>
        <w:t xml:space="preserve">; </w:t>
      </w:r>
      <w:r w:rsidR="008272C3" w:rsidRPr="008272C3">
        <w:rPr>
          <w:sz w:val="20"/>
          <w:szCs w:val="20"/>
        </w:rPr>
        <w:t>BRCA2</w:t>
      </w:r>
      <w:r w:rsidR="008272C3">
        <w:rPr>
          <w:sz w:val="20"/>
          <w:szCs w:val="20"/>
        </w:rPr>
        <w:t>,</w:t>
      </w:r>
      <w:r w:rsidR="008272C3" w:rsidRPr="008272C3">
        <w:rPr>
          <w:sz w:val="20"/>
          <w:szCs w:val="20"/>
        </w:rPr>
        <w:t xml:space="preserve"> Breast Cancer Type 2 Susceptibility Gene</w:t>
      </w:r>
      <w:r w:rsidR="008272C3">
        <w:rPr>
          <w:sz w:val="20"/>
          <w:szCs w:val="20"/>
        </w:rPr>
        <w:t xml:space="preserve">; </w:t>
      </w:r>
      <w:r w:rsidR="00280A80">
        <w:rPr>
          <w:sz w:val="20"/>
          <w:szCs w:val="20"/>
        </w:rPr>
        <w:t xml:space="preserve">CT, </w:t>
      </w:r>
      <w:r w:rsidR="00280A80" w:rsidRPr="00827953">
        <w:rPr>
          <w:sz w:val="20"/>
          <w:szCs w:val="20"/>
        </w:rPr>
        <w:t>Computed Tomography</w:t>
      </w:r>
      <w:r w:rsidR="00280A80">
        <w:rPr>
          <w:sz w:val="20"/>
          <w:szCs w:val="20"/>
        </w:rPr>
        <w:t xml:space="preserve">; </w:t>
      </w:r>
      <w:r w:rsidR="00827953" w:rsidRPr="00827953">
        <w:rPr>
          <w:sz w:val="20"/>
          <w:szCs w:val="20"/>
        </w:rPr>
        <w:t>FDG</w:t>
      </w:r>
      <w:r w:rsidR="00827953">
        <w:rPr>
          <w:sz w:val="20"/>
          <w:szCs w:val="20"/>
        </w:rPr>
        <w:t>,</w:t>
      </w:r>
      <w:r w:rsidR="00827953" w:rsidRPr="00827953">
        <w:rPr>
          <w:sz w:val="20"/>
          <w:szCs w:val="20"/>
        </w:rPr>
        <w:t xml:space="preserve"> Fluorodeoxyglucose</w:t>
      </w:r>
      <w:r w:rsidR="00827953">
        <w:rPr>
          <w:sz w:val="20"/>
          <w:szCs w:val="20"/>
        </w:rPr>
        <w:t xml:space="preserve">; </w:t>
      </w:r>
      <w:r w:rsidR="00BB79E1">
        <w:rPr>
          <w:sz w:val="20"/>
          <w:szCs w:val="20"/>
        </w:rPr>
        <w:t xml:space="preserve">EAU, </w:t>
      </w:r>
      <w:r w:rsidR="00BB79E1" w:rsidRPr="00BB79E1">
        <w:rPr>
          <w:sz w:val="20"/>
          <w:szCs w:val="20"/>
        </w:rPr>
        <w:t>European Association of Urology</w:t>
      </w:r>
      <w:r w:rsidR="00BB79E1">
        <w:rPr>
          <w:sz w:val="20"/>
          <w:szCs w:val="20"/>
        </w:rPr>
        <w:t xml:space="preserve">; </w:t>
      </w:r>
      <w:r w:rsidR="00280A80" w:rsidRPr="00280A80">
        <w:rPr>
          <w:sz w:val="20"/>
          <w:szCs w:val="20"/>
        </w:rPr>
        <w:t>HbA1c</w:t>
      </w:r>
      <w:r w:rsidR="000325E5">
        <w:rPr>
          <w:sz w:val="20"/>
          <w:szCs w:val="20"/>
        </w:rPr>
        <w:t>,</w:t>
      </w:r>
      <w:r w:rsidR="00280A80" w:rsidRPr="00280A80">
        <w:rPr>
          <w:sz w:val="20"/>
          <w:szCs w:val="20"/>
        </w:rPr>
        <w:t xml:space="preserve"> Hemoglobin A1c</w:t>
      </w:r>
      <w:r w:rsidR="00280A80">
        <w:rPr>
          <w:sz w:val="20"/>
          <w:szCs w:val="20"/>
        </w:rPr>
        <w:t xml:space="preserve">; </w:t>
      </w:r>
      <w:r w:rsidR="00BB79E1" w:rsidRPr="00BB79E1">
        <w:rPr>
          <w:sz w:val="20"/>
          <w:szCs w:val="20"/>
        </w:rPr>
        <w:t>ISUP</w:t>
      </w:r>
      <w:r w:rsidR="00BB79E1">
        <w:rPr>
          <w:sz w:val="20"/>
          <w:szCs w:val="20"/>
        </w:rPr>
        <w:t xml:space="preserve">, </w:t>
      </w:r>
      <w:r w:rsidR="00BB79E1" w:rsidRPr="00BB79E1">
        <w:rPr>
          <w:sz w:val="20"/>
          <w:szCs w:val="20"/>
        </w:rPr>
        <w:t>International Society of Urological Pathology</w:t>
      </w:r>
      <w:r w:rsidR="00BB79E1">
        <w:rPr>
          <w:sz w:val="20"/>
          <w:szCs w:val="20"/>
        </w:rPr>
        <w:t>;</w:t>
      </w:r>
      <w:r w:rsidR="00BB79E1" w:rsidRPr="00BB79E1">
        <w:rPr>
          <w:sz w:val="20"/>
          <w:szCs w:val="20"/>
        </w:rPr>
        <w:t xml:space="preserve"> </w:t>
      </w:r>
      <w:r w:rsidR="00A21121">
        <w:rPr>
          <w:sz w:val="20"/>
          <w:szCs w:val="20"/>
        </w:rPr>
        <w:t xml:space="preserve">LHRH, </w:t>
      </w:r>
      <w:r w:rsidR="00A21121" w:rsidRPr="00A21121">
        <w:rPr>
          <w:sz w:val="20"/>
          <w:szCs w:val="20"/>
        </w:rPr>
        <w:t>Luteinizing Hormone-Releasing Hormone</w:t>
      </w:r>
      <w:r w:rsidR="00A21121">
        <w:rPr>
          <w:sz w:val="20"/>
          <w:szCs w:val="20"/>
        </w:rPr>
        <w:t xml:space="preserve">; </w:t>
      </w:r>
      <w:r w:rsidR="00280A80" w:rsidRPr="00280A80">
        <w:rPr>
          <w:sz w:val="20"/>
          <w:szCs w:val="20"/>
        </w:rPr>
        <w:t>MRI: Magnetic Resonance Imaging</w:t>
      </w:r>
      <w:r w:rsidR="00280A80">
        <w:rPr>
          <w:sz w:val="20"/>
          <w:szCs w:val="20"/>
        </w:rPr>
        <w:t xml:space="preserve">; </w:t>
      </w:r>
      <w:r w:rsidR="00827953" w:rsidRPr="00827953">
        <w:rPr>
          <w:sz w:val="20"/>
          <w:szCs w:val="20"/>
        </w:rPr>
        <w:t>PET</w:t>
      </w:r>
      <w:r w:rsidR="00827953">
        <w:rPr>
          <w:sz w:val="20"/>
          <w:szCs w:val="20"/>
        </w:rPr>
        <w:t>,</w:t>
      </w:r>
      <w:r w:rsidR="00827953" w:rsidRPr="00827953">
        <w:rPr>
          <w:sz w:val="20"/>
          <w:szCs w:val="20"/>
        </w:rPr>
        <w:t xml:space="preserve"> Positron Emission Tomography</w:t>
      </w:r>
      <w:r w:rsidR="00827953">
        <w:rPr>
          <w:sz w:val="20"/>
          <w:szCs w:val="20"/>
        </w:rPr>
        <w:t xml:space="preserve">; </w:t>
      </w:r>
      <w:r w:rsidR="00827953" w:rsidRPr="00827953">
        <w:rPr>
          <w:sz w:val="20"/>
          <w:szCs w:val="20"/>
        </w:rPr>
        <w:t>PARP</w:t>
      </w:r>
      <w:r w:rsidR="00827953">
        <w:rPr>
          <w:sz w:val="20"/>
          <w:szCs w:val="20"/>
        </w:rPr>
        <w:t>,</w:t>
      </w:r>
      <w:r w:rsidR="00827953" w:rsidRPr="00827953">
        <w:rPr>
          <w:sz w:val="20"/>
          <w:szCs w:val="20"/>
        </w:rPr>
        <w:t xml:space="preserve"> Poly (ADP-ribose) Polymerase</w:t>
      </w:r>
      <w:r w:rsidR="00827953">
        <w:rPr>
          <w:sz w:val="20"/>
          <w:szCs w:val="20"/>
        </w:rPr>
        <w:t>;</w:t>
      </w:r>
      <w:r w:rsidR="00FA4E63">
        <w:rPr>
          <w:sz w:val="20"/>
          <w:szCs w:val="20"/>
        </w:rPr>
        <w:t xml:space="preserve"> </w:t>
      </w:r>
      <w:r w:rsidR="00FA4E63" w:rsidRPr="00FA4E63">
        <w:rPr>
          <w:sz w:val="20"/>
          <w:szCs w:val="20"/>
        </w:rPr>
        <w:t>PI-RADS: Prostate Imaging-Reporting and Data System</w:t>
      </w:r>
      <w:r w:rsidR="00FA4E63">
        <w:rPr>
          <w:sz w:val="20"/>
          <w:szCs w:val="20"/>
        </w:rPr>
        <w:t xml:space="preserve">; </w:t>
      </w:r>
      <w:r w:rsidR="00FA4E63" w:rsidRPr="00FA4E63">
        <w:rPr>
          <w:sz w:val="20"/>
          <w:szCs w:val="20"/>
        </w:rPr>
        <w:t>PSA</w:t>
      </w:r>
      <w:r w:rsidR="00FA4E63">
        <w:rPr>
          <w:sz w:val="20"/>
          <w:szCs w:val="20"/>
        </w:rPr>
        <w:t>,</w:t>
      </w:r>
      <w:r w:rsidR="00FA4E63" w:rsidRPr="00FA4E63">
        <w:rPr>
          <w:sz w:val="20"/>
          <w:szCs w:val="20"/>
        </w:rPr>
        <w:t xml:space="preserve"> Prostate-Specific Antigen</w:t>
      </w:r>
      <w:r w:rsidR="00FA4E63">
        <w:rPr>
          <w:sz w:val="20"/>
          <w:szCs w:val="20"/>
        </w:rPr>
        <w:t xml:space="preserve">; </w:t>
      </w:r>
      <w:r w:rsidR="00FA4E63" w:rsidRPr="00FA4E63">
        <w:rPr>
          <w:sz w:val="20"/>
          <w:szCs w:val="20"/>
        </w:rPr>
        <w:t>PSMA</w:t>
      </w:r>
      <w:r w:rsidR="00FA4E63">
        <w:rPr>
          <w:sz w:val="20"/>
          <w:szCs w:val="20"/>
        </w:rPr>
        <w:t xml:space="preserve">, </w:t>
      </w:r>
      <w:r w:rsidR="00FA4E63" w:rsidRPr="00FA4E63">
        <w:rPr>
          <w:sz w:val="20"/>
          <w:szCs w:val="20"/>
        </w:rPr>
        <w:t>Prostate-Specific Membrane Antigen</w:t>
      </w:r>
      <w:r w:rsidR="00FA4E63">
        <w:rPr>
          <w:sz w:val="20"/>
          <w:szCs w:val="20"/>
        </w:rPr>
        <w:t xml:space="preserve">; </w:t>
      </w:r>
      <w:proofErr w:type="spellStart"/>
      <w:r w:rsidR="00FA4E63" w:rsidRPr="00FA4E63">
        <w:rPr>
          <w:sz w:val="20"/>
          <w:szCs w:val="20"/>
        </w:rPr>
        <w:t>SUVmax</w:t>
      </w:r>
      <w:proofErr w:type="spellEnd"/>
      <w:r w:rsidR="00FA4E63" w:rsidRPr="00FA4E63">
        <w:rPr>
          <w:sz w:val="20"/>
          <w:szCs w:val="20"/>
        </w:rPr>
        <w:t>: Maximum Standardized Uptake Value</w:t>
      </w:r>
    </w:p>
    <w:p w14:paraId="489A5A10" w14:textId="77777777" w:rsidR="00827953" w:rsidRPr="00C919DE" w:rsidRDefault="00827953" w:rsidP="00827953">
      <w:pPr>
        <w:spacing w:line="240" w:lineRule="auto"/>
        <w:ind w:right="-44"/>
        <w:contextualSpacing/>
        <w:jc w:val="left"/>
        <w:rPr>
          <w:sz w:val="20"/>
          <w:szCs w:val="20"/>
        </w:rPr>
      </w:pPr>
    </w:p>
    <w:p w14:paraId="4DAE1697" w14:textId="513220A2" w:rsidR="007C291A" w:rsidRPr="00C919DE" w:rsidRDefault="007C291A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  <w:r w:rsidRPr="00C919DE">
        <w:rPr>
          <w:sz w:val="20"/>
          <w:szCs w:val="20"/>
          <w:vertAlign w:val="superscript"/>
        </w:rPr>
        <w:t>1</w:t>
      </w:r>
      <w:r w:rsidRPr="00C919DE">
        <w:rPr>
          <w:sz w:val="20"/>
          <w:szCs w:val="20"/>
        </w:rPr>
        <w:t xml:space="preserve"> 1</w:t>
      </w:r>
      <w:r w:rsidRPr="00C919DE">
        <w:rPr>
          <w:sz w:val="20"/>
          <w:szCs w:val="20"/>
          <w:vertAlign w:val="superscript"/>
        </w:rPr>
        <w:t>st</w:t>
      </w:r>
      <w:r w:rsidR="002413F0" w:rsidRPr="00C919DE">
        <w:rPr>
          <w:sz w:val="20"/>
          <w:szCs w:val="20"/>
        </w:rPr>
        <w:t xml:space="preserve"> </w:t>
      </w:r>
      <w:r w:rsidRPr="00C919DE">
        <w:rPr>
          <w:sz w:val="20"/>
          <w:szCs w:val="20"/>
        </w:rPr>
        <w:t>round’ or ‘2</w:t>
      </w:r>
      <w:r w:rsidRPr="00C919DE">
        <w:rPr>
          <w:sz w:val="20"/>
          <w:szCs w:val="20"/>
          <w:vertAlign w:val="superscript"/>
        </w:rPr>
        <w:t>nd</w:t>
      </w:r>
      <w:r w:rsidR="002413F0" w:rsidRPr="00C919DE">
        <w:rPr>
          <w:sz w:val="20"/>
          <w:szCs w:val="20"/>
        </w:rPr>
        <w:t xml:space="preserve"> </w:t>
      </w:r>
      <w:r w:rsidRPr="00C919DE">
        <w:rPr>
          <w:sz w:val="20"/>
          <w:szCs w:val="20"/>
        </w:rPr>
        <w:t>round’ indicates consensus was reached in the first or second Delphi round, respectively.</w:t>
      </w:r>
    </w:p>
    <w:p w14:paraId="2AA57D31" w14:textId="14760092" w:rsidR="007C291A" w:rsidRDefault="007C291A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  <w:proofErr w:type="gramStart"/>
      <w:r w:rsidRPr="00C919DE">
        <w:rPr>
          <w:sz w:val="20"/>
          <w:szCs w:val="20"/>
          <w:vertAlign w:val="superscript"/>
        </w:rPr>
        <w:t xml:space="preserve">2  </w:t>
      </w:r>
      <w:r w:rsidRPr="00C919DE">
        <w:rPr>
          <w:sz w:val="20"/>
          <w:szCs w:val="20"/>
        </w:rPr>
        <w:t>The</w:t>
      </w:r>
      <w:proofErr w:type="gramEnd"/>
      <w:r w:rsidRPr="00C919DE">
        <w:rPr>
          <w:sz w:val="20"/>
          <w:szCs w:val="20"/>
        </w:rPr>
        <w:t xml:space="preserve"> percentage in parentheses indicates the proportion of panelists whose scores fell within the same tercile as the median of responses (1–3 = disagreement, 4–6 = no consensus, 7–9 = agreement).</w:t>
      </w:r>
    </w:p>
    <w:p w14:paraId="1464C71F" w14:textId="77777777" w:rsidR="001F513E" w:rsidRDefault="001F513E" w:rsidP="007C291A">
      <w:pPr>
        <w:spacing w:line="240" w:lineRule="auto"/>
        <w:ind w:right="-44"/>
        <w:contextualSpacing/>
        <w:jc w:val="left"/>
        <w:rPr>
          <w:sz w:val="20"/>
          <w:szCs w:val="20"/>
        </w:rPr>
      </w:pPr>
    </w:p>
    <w:p w14:paraId="68F87FA7" w14:textId="4134545E" w:rsidR="001F513E" w:rsidRDefault="001F513E" w:rsidP="00AF0AAD">
      <w:pPr>
        <w:spacing w:before="0" w:beforeAutospacing="0" w:after="0" w:afterAutospacing="0" w:line="240" w:lineRule="auto"/>
        <w:ind w:right="-45"/>
        <w:contextualSpacing/>
        <w:jc w:val="left"/>
        <w:rPr>
          <w:sz w:val="20"/>
          <w:szCs w:val="20"/>
        </w:rPr>
      </w:pPr>
      <w:r w:rsidRPr="001F513E">
        <w:rPr>
          <w:sz w:val="20"/>
          <w:szCs w:val="20"/>
        </w:rPr>
        <w:t xml:space="preserve">Color </w:t>
      </w:r>
      <w:r>
        <w:rPr>
          <w:sz w:val="20"/>
          <w:szCs w:val="20"/>
        </w:rPr>
        <w:t>c</w:t>
      </w:r>
      <w:r w:rsidRPr="001F513E">
        <w:rPr>
          <w:sz w:val="20"/>
          <w:szCs w:val="20"/>
        </w:rPr>
        <w:t xml:space="preserve">ode for </w:t>
      </w:r>
      <w:r>
        <w:rPr>
          <w:sz w:val="20"/>
          <w:szCs w:val="20"/>
        </w:rPr>
        <w:t>c</w:t>
      </w:r>
      <w:r w:rsidRPr="001F513E">
        <w:rPr>
          <w:sz w:val="20"/>
          <w:szCs w:val="20"/>
        </w:rPr>
        <w:t xml:space="preserve">onsensus </w:t>
      </w:r>
      <w:r>
        <w:rPr>
          <w:sz w:val="20"/>
          <w:szCs w:val="20"/>
        </w:rPr>
        <w:t>l</w:t>
      </w:r>
      <w:r w:rsidRPr="001F513E">
        <w:rPr>
          <w:sz w:val="20"/>
          <w:szCs w:val="20"/>
        </w:rPr>
        <w:t>evels</w:t>
      </w:r>
      <w:r>
        <w:rPr>
          <w:sz w:val="20"/>
          <w:szCs w:val="20"/>
        </w:rPr>
        <w:t>:</w:t>
      </w:r>
    </w:p>
    <w:p w14:paraId="78141AF3" w14:textId="77777777" w:rsidR="0058023D" w:rsidRPr="00AF0AAD" w:rsidRDefault="0058023D" w:rsidP="00AF0AAD">
      <w:pPr>
        <w:pStyle w:val="Prrafodelista"/>
        <w:numPr>
          <w:ilvl w:val="0"/>
          <w:numId w:val="17"/>
        </w:numPr>
        <w:spacing w:before="0" w:beforeAutospacing="0" w:after="0" w:afterAutospacing="0" w:line="240" w:lineRule="auto"/>
        <w:ind w:right="-45"/>
        <w:jc w:val="left"/>
        <w:rPr>
          <w:sz w:val="20"/>
          <w:szCs w:val="20"/>
        </w:rPr>
      </w:pPr>
      <w:r w:rsidRPr="00AF0AAD">
        <w:rPr>
          <w:sz w:val="20"/>
          <w:szCs w:val="20"/>
        </w:rPr>
        <w:t>Dark green: Consensus in agreement reached in the first round.</w:t>
      </w:r>
    </w:p>
    <w:p w14:paraId="5C022934" w14:textId="77777777" w:rsidR="0058023D" w:rsidRDefault="0058023D" w:rsidP="00AF0AAD">
      <w:pPr>
        <w:pStyle w:val="Prrafodelista"/>
        <w:numPr>
          <w:ilvl w:val="0"/>
          <w:numId w:val="17"/>
        </w:numPr>
        <w:spacing w:before="0" w:beforeAutospacing="0" w:after="0" w:afterAutospacing="0" w:line="240" w:lineRule="auto"/>
        <w:ind w:right="-45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Light green: Consensus in agreement reached in the second round.</w:t>
      </w:r>
    </w:p>
    <w:p w14:paraId="657FFE7B" w14:textId="77777777" w:rsidR="0058023D" w:rsidRDefault="0058023D" w:rsidP="00AF0AAD">
      <w:pPr>
        <w:pStyle w:val="Prrafodelista"/>
        <w:numPr>
          <w:ilvl w:val="0"/>
          <w:numId w:val="17"/>
        </w:numPr>
        <w:spacing w:before="0" w:beforeAutospacing="0" w:after="0" w:afterAutospacing="0" w:line="240" w:lineRule="auto"/>
        <w:ind w:right="-45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Light orange: Consensus in disagreement reached in the second round.</w:t>
      </w:r>
    </w:p>
    <w:p w14:paraId="4EEC08AA" w14:textId="1BFE9485" w:rsidR="003A7D1B" w:rsidRPr="00AF0AAD" w:rsidRDefault="0058023D" w:rsidP="00AF0AAD">
      <w:pPr>
        <w:pStyle w:val="Prrafodelista"/>
        <w:numPr>
          <w:ilvl w:val="0"/>
          <w:numId w:val="17"/>
        </w:numPr>
        <w:spacing w:before="0" w:beforeAutospacing="0" w:after="0" w:afterAutospacing="0" w:line="240" w:lineRule="auto"/>
        <w:ind w:right="-45"/>
        <w:jc w:val="left"/>
        <w:rPr>
          <w:sz w:val="20"/>
          <w:szCs w:val="20"/>
        </w:rPr>
      </w:pPr>
      <w:r w:rsidRPr="0058023D">
        <w:rPr>
          <w:sz w:val="20"/>
          <w:szCs w:val="20"/>
        </w:rPr>
        <w:t>Yellow: No consensus reached.</w:t>
      </w:r>
      <w:r w:rsidR="003A7D1B" w:rsidRPr="00AF0AAD">
        <w:rPr>
          <w:sz w:val="20"/>
          <w:szCs w:val="20"/>
        </w:rPr>
        <w:br w:type="page"/>
      </w:r>
    </w:p>
    <w:p w14:paraId="5992793C" w14:textId="77777777" w:rsidR="009B03D8" w:rsidRDefault="0068783B" w:rsidP="009B03D8">
      <w:pPr>
        <w:pStyle w:val="Ttulo2"/>
        <w:rPr>
          <w:sz w:val="24"/>
          <w:szCs w:val="24"/>
        </w:rPr>
      </w:pPr>
      <w:bookmarkStart w:id="3" w:name="_Toc209521921"/>
      <w:r w:rsidRPr="009B03D8"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1EE2A0E5" wp14:editId="0129EE2E">
            <wp:simplePos x="0" y="0"/>
            <wp:positionH relativeFrom="column">
              <wp:posOffset>-562610</wp:posOffset>
            </wp:positionH>
            <wp:positionV relativeFrom="paragraph">
              <wp:posOffset>485140</wp:posOffset>
            </wp:positionV>
            <wp:extent cx="9793605" cy="4747895"/>
            <wp:effectExtent l="0" t="0" r="0" b="1905"/>
            <wp:wrapTopAndBottom/>
            <wp:docPr id="1264980358" name="Imagen 1" descr="Imagen que contiene instrumento, estacionaria, lápiz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980358" name="Imagen 1" descr="Imagen que contiene instrumento, estacionaria, lápiz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3605" cy="474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D1B" w:rsidRPr="009B03D8">
        <w:rPr>
          <w:sz w:val="24"/>
          <w:szCs w:val="24"/>
        </w:rPr>
        <w:t>Figure S1. Proportion of panelists scoring in each category (1–3 = disagreement, 4–6 = no consensus, 7–9 = agreement) per clinical question and large language model after both Delphi rounds.</w:t>
      </w:r>
      <w:bookmarkEnd w:id="3"/>
    </w:p>
    <w:p w14:paraId="01C50998" w14:textId="6341E044" w:rsidR="001F513E" w:rsidRPr="001F513E" w:rsidRDefault="003A7D1B" w:rsidP="009B03D8">
      <w:pPr>
        <w:pStyle w:val="Ttulo2"/>
        <w:rPr>
          <w:sz w:val="20"/>
          <w:szCs w:val="20"/>
        </w:rPr>
      </w:pPr>
      <w:r w:rsidRPr="009B03D8">
        <w:rPr>
          <w:sz w:val="24"/>
          <w:szCs w:val="24"/>
        </w:rPr>
        <w:t xml:space="preserve"> </w:t>
      </w:r>
    </w:p>
    <w:p w14:paraId="03A868DA" w14:textId="77777777" w:rsidR="007C291A" w:rsidRPr="00C919DE" w:rsidRDefault="007C291A" w:rsidP="00F70DC3">
      <w:pPr>
        <w:spacing w:line="240" w:lineRule="auto"/>
        <w:ind w:left="-851" w:right="-591"/>
        <w:contextualSpacing/>
        <w:jc w:val="left"/>
        <w:rPr>
          <w:sz w:val="20"/>
          <w:szCs w:val="20"/>
        </w:rPr>
      </w:pPr>
    </w:p>
    <w:sectPr w:rsidR="007C291A" w:rsidRPr="00C919DE" w:rsidSect="00E54C88">
      <w:footerReference w:type="even" r:id="rId11"/>
      <w:footerReference w:type="default" r:id="rId12"/>
      <w:pgSz w:w="15840" w:h="12220" w:orient="landscape"/>
      <w:pgMar w:top="1181" w:right="1138" w:bottom="1282" w:left="1138" w:header="28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8F00E1" w14:textId="77777777" w:rsidR="0065439C" w:rsidRDefault="0065439C" w:rsidP="00BC6DC4">
      <w:pPr>
        <w:spacing w:before="0" w:after="0" w:line="240" w:lineRule="auto"/>
      </w:pPr>
      <w:r>
        <w:separator/>
      </w:r>
    </w:p>
  </w:endnote>
  <w:endnote w:type="continuationSeparator" w:id="0">
    <w:p w14:paraId="73B31C49" w14:textId="77777777" w:rsidR="0065439C" w:rsidRDefault="0065439C" w:rsidP="00BC6D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988150248"/>
      <w:docPartObj>
        <w:docPartGallery w:val="Page Numbers (Bottom of Page)"/>
        <w:docPartUnique/>
      </w:docPartObj>
    </w:sdtPr>
    <w:sdtContent>
      <w:p w14:paraId="193EEBF5" w14:textId="23C5125E" w:rsidR="00BC6DC4" w:rsidRDefault="00BC6DC4" w:rsidP="001C175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6B5BA0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1DEEDB51" w14:textId="77777777" w:rsidR="00BC6DC4" w:rsidRDefault="00BC6DC4" w:rsidP="00BC6DC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765459066"/>
      <w:docPartObj>
        <w:docPartGallery w:val="Page Numbers (Bottom of Page)"/>
        <w:docPartUnique/>
      </w:docPartObj>
    </w:sdtPr>
    <w:sdtContent>
      <w:p w14:paraId="604BFF6D" w14:textId="376B06E1" w:rsidR="00BC6DC4" w:rsidRDefault="00BC6DC4" w:rsidP="001C175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BB2216">
          <w:rPr>
            <w:rStyle w:val="Nmerodepgina"/>
            <w:noProof/>
          </w:rPr>
          <w:t>3</w:t>
        </w:r>
        <w:r>
          <w:rPr>
            <w:rStyle w:val="Nmerodepgina"/>
          </w:rPr>
          <w:fldChar w:fldCharType="end"/>
        </w:r>
      </w:p>
    </w:sdtContent>
  </w:sdt>
  <w:p w14:paraId="5E92D356" w14:textId="77777777" w:rsidR="00BC6DC4" w:rsidRDefault="00BC6DC4" w:rsidP="00BC6DC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8F5F7" w14:textId="77777777" w:rsidR="0065439C" w:rsidRDefault="0065439C" w:rsidP="00BC6DC4">
      <w:pPr>
        <w:spacing w:before="0" w:after="0" w:line="240" w:lineRule="auto"/>
      </w:pPr>
      <w:r>
        <w:separator/>
      </w:r>
    </w:p>
  </w:footnote>
  <w:footnote w:type="continuationSeparator" w:id="0">
    <w:p w14:paraId="388FF22C" w14:textId="77777777" w:rsidR="0065439C" w:rsidRDefault="0065439C" w:rsidP="00BC6D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E2564"/>
    <w:multiLevelType w:val="hybridMultilevel"/>
    <w:tmpl w:val="0EB6DFCE"/>
    <w:lvl w:ilvl="0" w:tplc="F39C33EA">
      <w:numFmt w:val="bullet"/>
      <w:lvlText w:val="•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1" w15:restartNumberingAfterBreak="0">
    <w:nsid w:val="097F7437"/>
    <w:multiLevelType w:val="hybridMultilevel"/>
    <w:tmpl w:val="70C499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D1400"/>
    <w:multiLevelType w:val="hybridMultilevel"/>
    <w:tmpl w:val="D4EE2DC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063395"/>
    <w:multiLevelType w:val="hybridMultilevel"/>
    <w:tmpl w:val="2042E7A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621DB"/>
    <w:multiLevelType w:val="hybridMultilevel"/>
    <w:tmpl w:val="7D08340E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764A4"/>
    <w:multiLevelType w:val="hybridMultilevel"/>
    <w:tmpl w:val="3886F396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F3455"/>
    <w:multiLevelType w:val="hybridMultilevel"/>
    <w:tmpl w:val="D474EA64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8D025B"/>
    <w:multiLevelType w:val="hybridMultilevel"/>
    <w:tmpl w:val="E2DE1A3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A198C"/>
    <w:multiLevelType w:val="hybridMultilevel"/>
    <w:tmpl w:val="7C6E1C5A"/>
    <w:lvl w:ilvl="0" w:tplc="F39C33EA">
      <w:numFmt w:val="bullet"/>
      <w:lvlText w:val="•"/>
      <w:lvlJc w:val="left"/>
      <w:pPr>
        <w:ind w:left="14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87E8E"/>
    <w:multiLevelType w:val="hybridMultilevel"/>
    <w:tmpl w:val="D33AF42C"/>
    <w:lvl w:ilvl="0" w:tplc="F39C33EA">
      <w:numFmt w:val="bullet"/>
      <w:lvlText w:val="•"/>
      <w:lvlJc w:val="left"/>
      <w:pPr>
        <w:ind w:left="1428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0" w15:restartNumberingAfterBreak="0">
    <w:nsid w:val="428C2C5B"/>
    <w:multiLevelType w:val="hybridMultilevel"/>
    <w:tmpl w:val="BED0A9C8"/>
    <w:lvl w:ilvl="0" w:tplc="F39C33EA">
      <w:numFmt w:val="bullet"/>
      <w:lvlText w:val="•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D73549"/>
    <w:multiLevelType w:val="hybridMultilevel"/>
    <w:tmpl w:val="C7382C38"/>
    <w:lvl w:ilvl="0" w:tplc="F39C33EA">
      <w:numFmt w:val="bullet"/>
      <w:lvlText w:val="•"/>
      <w:lvlJc w:val="left"/>
      <w:pPr>
        <w:ind w:left="1428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 w15:restartNumberingAfterBreak="0">
    <w:nsid w:val="47607333"/>
    <w:multiLevelType w:val="hybridMultilevel"/>
    <w:tmpl w:val="A58ED85E"/>
    <w:lvl w:ilvl="0" w:tplc="F39C33EA">
      <w:numFmt w:val="bullet"/>
      <w:lvlText w:val="•"/>
      <w:lvlJc w:val="left"/>
      <w:pPr>
        <w:ind w:left="7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13" w15:restartNumberingAfterBreak="0">
    <w:nsid w:val="51631A48"/>
    <w:multiLevelType w:val="hybridMultilevel"/>
    <w:tmpl w:val="A0C42B92"/>
    <w:lvl w:ilvl="0" w:tplc="0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7498B"/>
    <w:multiLevelType w:val="hybridMultilevel"/>
    <w:tmpl w:val="A05A370E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4C60F3"/>
    <w:multiLevelType w:val="hybridMultilevel"/>
    <w:tmpl w:val="5D723E0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4C393F"/>
    <w:multiLevelType w:val="hybridMultilevel"/>
    <w:tmpl w:val="FE06EF18"/>
    <w:lvl w:ilvl="0" w:tplc="F39C33EA">
      <w:numFmt w:val="bullet"/>
      <w:lvlText w:val="•"/>
      <w:lvlJc w:val="left"/>
      <w:pPr>
        <w:ind w:left="1420" w:hanging="720"/>
      </w:pPr>
      <w:rPr>
        <w:rFonts w:ascii="Aptos" w:eastAsiaTheme="minorEastAsia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641423257">
    <w:abstractNumId w:val="2"/>
  </w:num>
  <w:num w:numId="2" w16cid:durableId="1016618668">
    <w:abstractNumId w:val="6"/>
  </w:num>
  <w:num w:numId="3" w16cid:durableId="1847791689">
    <w:abstractNumId w:val="7"/>
  </w:num>
  <w:num w:numId="4" w16cid:durableId="406807195">
    <w:abstractNumId w:val="5"/>
  </w:num>
  <w:num w:numId="5" w16cid:durableId="750202374">
    <w:abstractNumId w:val="13"/>
  </w:num>
  <w:num w:numId="6" w16cid:durableId="1511795088">
    <w:abstractNumId w:val="4"/>
  </w:num>
  <w:num w:numId="7" w16cid:durableId="432554820">
    <w:abstractNumId w:val="14"/>
  </w:num>
  <w:num w:numId="8" w16cid:durableId="880626526">
    <w:abstractNumId w:val="3"/>
  </w:num>
  <w:num w:numId="9" w16cid:durableId="238443893">
    <w:abstractNumId w:val="1"/>
  </w:num>
  <w:num w:numId="10" w16cid:durableId="1929579042">
    <w:abstractNumId w:val="16"/>
  </w:num>
  <w:num w:numId="11" w16cid:durableId="491332087">
    <w:abstractNumId w:val="11"/>
  </w:num>
  <w:num w:numId="12" w16cid:durableId="1203134688">
    <w:abstractNumId w:val="9"/>
  </w:num>
  <w:num w:numId="13" w16cid:durableId="1509448161">
    <w:abstractNumId w:val="12"/>
  </w:num>
  <w:num w:numId="14" w16cid:durableId="746919571">
    <w:abstractNumId w:val="8"/>
  </w:num>
  <w:num w:numId="15" w16cid:durableId="711853242">
    <w:abstractNumId w:val="0"/>
  </w:num>
  <w:num w:numId="16" w16cid:durableId="942221969">
    <w:abstractNumId w:val="10"/>
  </w:num>
  <w:num w:numId="17" w16cid:durableId="1179542480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attachedTemplate r:id="rId1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6"/>
    <w:rsid w:val="00011162"/>
    <w:rsid w:val="000121FD"/>
    <w:rsid w:val="00024EBD"/>
    <w:rsid w:val="000325E5"/>
    <w:rsid w:val="00037A3B"/>
    <w:rsid w:val="00051723"/>
    <w:rsid w:val="00053320"/>
    <w:rsid w:val="00063202"/>
    <w:rsid w:val="00064159"/>
    <w:rsid w:val="0006545A"/>
    <w:rsid w:val="000863E4"/>
    <w:rsid w:val="00097858"/>
    <w:rsid w:val="000A49A3"/>
    <w:rsid w:val="000B2E18"/>
    <w:rsid w:val="000C2E97"/>
    <w:rsid w:val="000E50B1"/>
    <w:rsid w:val="000F7B20"/>
    <w:rsid w:val="001034B7"/>
    <w:rsid w:val="001052BE"/>
    <w:rsid w:val="00112126"/>
    <w:rsid w:val="00112491"/>
    <w:rsid w:val="00113B40"/>
    <w:rsid w:val="00144018"/>
    <w:rsid w:val="0017692C"/>
    <w:rsid w:val="001C1199"/>
    <w:rsid w:val="001C23D6"/>
    <w:rsid w:val="001C2E88"/>
    <w:rsid w:val="001C7513"/>
    <w:rsid w:val="001E47C2"/>
    <w:rsid w:val="001F513E"/>
    <w:rsid w:val="0020361B"/>
    <w:rsid w:val="00212FA0"/>
    <w:rsid w:val="00214F93"/>
    <w:rsid w:val="0022083A"/>
    <w:rsid w:val="00225E86"/>
    <w:rsid w:val="002277C8"/>
    <w:rsid w:val="00237967"/>
    <w:rsid w:val="002413F0"/>
    <w:rsid w:val="002474E2"/>
    <w:rsid w:val="00253ED7"/>
    <w:rsid w:val="00280A80"/>
    <w:rsid w:val="002815CD"/>
    <w:rsid w:val="002922A2"/>
    <w:rsid w:val="002927D6"/>
    <w:rsid w:val="002B26E6"/>
    <w:rsid w:val="002B3AE7"/>
    <w:rsid w:val="002C0446"/>
    <w:rsid w:val="002C2FFE"/>
    <w:rsid w:val="002D5B7A"/>
    <w:rsid w:val="002E23AE"/>
    <w:rsid w:val="002F6949"/>
    <w:rsid w:val="00305DDB"/>
    <w:rsid w:val="00310879"/>
    <w:rsid w:val="00313127"/>
    <w:rsid w:val="00361670"/>
    <w:rsid w:val="00385E68"/>
    <w:rsid w:val="003964B9"/>
    <w:rsid w:val="003A2749"/>
    <w:rsid w:val="003A443A"/>
    <w:rsid w:val="003A7052"/>
    <w:rsid w:val="003A7D1B"/>
    <w:rsid w:val="003B2EB9"/>
    <w:rsid w:val="003D6DB7"/>
    <w:rsid w:val="003D7A6F"/>
    <w:rsid w:val="003F0463"/>
    <w:rsid w:val="00403A93"/>
    <w:rsid w:val="00405316"/>
    <w:rsid w:val="004122F8"/>
    <w:rsid w:val="00443D28"/>
    <w:rsid w:val="00446F1D"/>
    <w:rsid w:val="004600CD"/>
    <w:rsid w:val="00460E48"/>
    <w:rsid w:val="00462887"/>
    <w:rsid w:val="00475DB3"/>
    <w:rsid w:val="00487C6B"/>
    <w:rsid w:val="004A1D59"/>
    <w:rsid w:val="004B1469"/>
    <w:rsid w:val="004D6593"/>
    <w:rsid w:val="004E1DEA"/>
    <w:rsid w:val="004F6282"/>
    <w:rsid w:val="00504466"/>
    <w:rsid w:val="00506621"/>
    <w:rsid w:val="00514F12"/>
    <w:rsid w:val="00522286"/>
    <w:rsid w:val="00554764"/>
    <w:rsid w:val="00564D30"/>
    <w:rsid w:val="00573965"/>
    <w:rsid w:val="00574BA6"/>
    <w:rsid w:val="0058023D"/>
    <w:rsid w:val="00581F3B"/>
    <w:rsid w:val="00583754"/>
    <w:rsid w:val="005C7163"/>
    <w:rsid w:val="005C73E9"/>
    <w:rsid w:val="00621772"/>
    <w:rsid w:val="006305DF"/>
    <w:rsid w:val="0065439C"/>
    <w:rsid w:val="00657AB1"/>
    <w:rsid w:val="00662344"/>
    <w:rsid w:val="006773D1"/>
    <w:rsid w:val="0068783B"/>
    <w:rsid w:val="00687DA3"/>
    <w:rsid w:val="006930EB"/>
    <w:rsid w:val="006A2849"/>
    <w:rsid w:val="006B2170"/>
    <w:rsid w:val="006B5BA0"/>
    <w:rsid w:val="006C04C6"/>
    <w:rsid w:val="006C5BF2"/>
    <w:rsid w:val="006D5925"/>
    <w:rsid w:val="006F1B2A"/>
    <w:rsid w:val="006F5CB7"/>
    <w:rsid w:val="006F6F89"/>
    <w:rsid w:val="00704248"/>
    <w:rsid w:val="00710C48"/>
    <w:rsid w:val="007209A3"/>
    <w:rsid w:val="00762482"/>
    <w:rsid w:val="0076260C"/>
    <w:rsid w:val="00781950"/>
    <w:rsid w:val="007843B9"/>
    <w:rsid w:val="007907F8"/>
    <w:rsid w:val="007B61E9"/>
    <w:rsid w:val="007C291A"/>
    <w:rsid w:val="007C54E4"/>
    <w:rsid w:val="007E286B"/>
    <w:rsid w:val="007F7033"/>
    <w:rsid w:val="00804D8F"/>
    <w:rsid w:val="00817176"/>
    <w:rsid w:val="00822700"/>
    <w:rsid w:val="00826E03"/>
    <w:rsid w:val="008272C3"/>
    <w:rsid w:val="00827953"/>
    <w:rsid w:val="00831726"/>
    <w:rsid w:val="00850341"/>
    <w:rsid w:val="0086789E"/>
    <w:rsid w:val="008741B9"/>
    <w:rsid w:val="00883994"/>
    <w:rsid w:val="008B28E7"/>
    <w:rsid w:val="008B3632"/>
    <w:rsid w:val="008B4034"/>
    <w:rsid w:val="008E4820"/>
    <w:rsid w:val="009100F8"/>
    <w:rsid w:val="00910C24"/>
    <w:rsid w:val="00935064"/>
    <w:rsid w:val="00937BE8"/>
    <w:rsid w:val="0094253A"/>
    <w:rsid w:val="00950602"/>
    <w:rsid w:val="00957E95"/>
    <w:rsid w:val="009756E8"/>
    <w:rsid w:val="00986C0C"/>
    <w:rsid w:val="009A156D"/>
    <w:rsid w:val="009A666B"/>
    <w:rsid w:val="009B03D8"/>
    <w:rsid w:val="009F509F"/>
    <w:rsid w:val="009F7D79"/>
    <w:rsid w:val="00A12958"/>
    <w:rsid w:val="00A1584F"/>
    <w:rsid w:val="00A208B8"/>
    <w:rsid w:val="00A21121"/>
    <w:rsid w:val="00A21D44"/>
    <w:rsid w:val="00A40BD9"/>
    <w:rsid w:val="00A46183"/>
    <w:rsid w:val="00A46D52"/>
    <w:rsid w:val="00A47D3C"/>
    <w:rsid w:val="00A55F4F"/>
    <w:rsid w:val="00A63952"/>
    <w:rsid w:val="00A65DB7"/>
    <w:rsid w:val="00A74172"/>
    <w:rsid w:val="00A76422"/>
    <w:rsid w:val="00A80371"/>
    <w:rsid w:val="00A809D9"/>
    <w:rsid w:val="00A84572"/>
    <w:rsid w:val="00A91819"/>
    <w:rsid w:val="00AB093F"/>
    <w:rsid w:val="00AB6778"/>
    <w:rsid w:val="00AC443E"/>
    <w:rsid w:val="00AF0AAD"/>
    <w:rsid w:val="00AF5471"/>
    <w:rsid w:val="00B0050B"/>
    <w:rsid w:val="00B03D78"/>
    <w:rsid w:val="00B4713E"/>
    <w:rsid w:val="00B615AD"/>
    <w:rsid w:val="00B816B8"/>
    <w:rsid w:val="00B854F7"/>
    <w:rsid w:val="00BB0583"/>
    <w:rsid w:val="00BB2216"/>
    <w:rsid w:val="00BB607A"/>
    <w:rsid w:val="00BB79E1"/>
    <w:rsid w:val="00BC6A8A"/>
    <w:rsid w:val="00BC6DC4"/>
    <w:rsid w:val="00BF146E"/>
    <w:rsid w:val="00C1731E"/>
    <w:rsid w:val="00C251B5"/>
    <w:rsid w:val="00C33AF6"/>
    <w:rsid w:val="00C70567"/>
    <w:rsid w:val="00C71E3B"/>
    <w:rsid w:val="00C848D0"/>
    <w:rsid w:val="00C919DE"/>
    <w:rsid w:val="00CB1A11"/>
    <w:rsid w:val="00CB76E5"/>
    <w:rsid w:val="00CE1A62"/>
    <w:rsid w:val="00D02D40"/>
    <w:rsid w:val="00D17191"/>
    <w:rsid w:val="00D26615"/>
    <w:rsid w:val="00D55BB9"/>
    <w:rsid w:val="00D65B1E"/>
    <w:rsid w:val="00D70F3B"/>
    <w:rsid w:val="00D71D71"/>
    <w:rsid w:val="00D72922"/>
    <w:rsid w:val="00DA431A"/>
    <w:rsid w:val="00DB5C8F"/>
    <w:rsid w:val="00DB6AA9"/>
    <w:rsid w:val="00DD0B41"/>
    <w:rsid w:val="00DE0C3C"/>
    <w:rsid w:val="00DF2333"/>
    <w:rsid w:val="00DF58ED"/>
    <w:rsid w:val="00E02749"/>
    <w:rsid w:val="00E0399B"/>
    <w:rsid w:val="00E140A6"/>
    <w:rsid w:val="00E377C2"/>
    <w:rsid w:val="00E43DF0"/>
    <w:rsid w:val="00E54C88"/>
    <w:rsid w:val="00E600A0"/>
    <w:rsid w:val="00EA262B"/>
    <w:rsid w:val="00EA2B6B"/>
    <w:rsid w:val="00ED1721"/>
    <w:rsid w:val="00ED7FF8"/>
    <w:rsid w:val="00EF6856"/>
    <w:rsid w:val="00F01B89"/>
    <w:rsid w:val="00F10F6B"/>
    <w:rsid w:val="00F15083"/>
    <w:rsid w:val="00F57079"/>
    <w:rsid w:val="00F61138"/>
    <w:rsid w:val="00F70DC3"/>
    <w:rsid w:val="00F815AD"/>
    <w:rsid w:val="00F81A54"/>
    <w:rsid w:val="00FA4263"/>
    <w:rsid w:val="00FA4E63"/>
    <w:rsid w:val="00FB3BC4"/>
    <w:rsid w:val="00FE4A0F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4490"/>
  <w15:chartTrackingRefBased/>
  <w15:docId w15:val="{7B898613-7A58-B54E-9654-5E256D70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C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2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2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E8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E8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2E8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1C2E8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2E8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2E8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2E88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2E8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2E88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2E8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2E88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1C2E8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2E8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E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2E8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1C2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2E88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1C2E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2E8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2E88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1C2E8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BC6DC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6DC4"/>
    <w:rPr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BC6DC4"/>
  </w:style>
  <w:style w:type="paragraph" w:customStyle="1" w:styleId="Default">
    <w:name w:val="Default"/>
    <w:rsid w:val="00C33AF6"/>
    <w:pPr>
      <w:autoSpaceDE w:val="0"/>
      <w:autoSpaceDN w:val="0"/>
      <w:adjustRightInd w:val="0"/>
      <w:spacing w:before="0" w:beforeAutospacing="0" w:after="0" w:afterAutospacing="0" w:line="240" w:lineRule="auto"/>
      <w:jc w:val="left"/>
    </w:pPr>
    <w:rPr>
      <w:rFonts w:ascii="Arial" w:hAnsi="Arial" w:cs="Arial"/>
      <w:color w:val="000000"/>
      <w:kern w:val="0"/>
      <w:lang w:val="es-ES_tradnl"/>
    </w:rPr>
  </w:style>
  <w:style w:type="table" w:styleId="Tablaconcuadrcula">
    <w:name w:val="Table Grid"/>
    <w:basedOn w:val="Tablanormal"/>
    <w:uiPriority w:val="39"/>
    <w:rsid w:val="00C33AF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930EB"/>
    <w:pPr>
      <w:widowControl w:val="0"/>
      <w:autoSpaceDE w:val="0"/>
      <w:autoSpaceDN w:val="0"/>
      <w:spacing w:before="172" w:beforeAutospacing="0" w:after="0" w:afterAutospacing="0" w:line="240" w:lineRule="auto"/>
      <w:jc w:val="left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AB09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093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093F"/>
    <w:rPr>
      <w:rFonts w:eastAsiaTheme="minorEastAsia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09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093F"/>
    <w:rPr>
      <w:rFonts w:eastAsiaTheme="minorEastAsia"/>
      <w:b/>
      <w:bCs/>
      <w:sz w:val="20"/>
      <w:szCs w:val="20"/>
      <w:lang w:val="en-US"/>
    </w:rPr>
  </w:style>
  <w:style w:type="paragraph" w:styleId="TDC2">
    <w:name w:val="toc 2"/>
    <w:basedOn w:val="Normal"/>
    <w:next w:val="Normal"/>
    <w:autoRedefine/>
    <w:uiPriority w:val="39"/>
    <w:unhideWhenUsed/>
    <w:rsid w:val="009B03D8"/>
    <w:pPr>
      <w:ind w:left="240"/>
    </w:pPr>
  </w:style>
  <w:style w:type="character" w:styleId="Hipervnculo">
    <w:name w:val="Hyperlink"/>
    <w:basedOn w:val="Fuentedeprrafopredeter"/>
    <w:uiPriority w:val="99"/>
    <w:unhideWhenUsed/>
    <w:rsid w:val="009B03D8"/>
    <w:rPr>
      <w:color w:val="467886" w:themeColor="hyperlink"/>
      <w:u w:val="single"/>
    </w:rPr>
  </w:style>
  <w:style w:type="paragraph" w:styleId="Revisin">
    <w:name w:val="Revision"/>
    <w:hidden/>
    <w:uiPriority w:val="99"/>
    <w:semiHidden/>
    <w:rsid w:val="00687DA3"/>
    <w:pPr>
      <w:spacing w:before="0" w:beforeAutospacing="0" w:after="0" w:afterAutospacing="0" w:line="240" w:lineRule="auto"/>
      <w:jc w:val="left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14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blo/Library/Group%20Containers/UBF8T346G9.Office/User%20Content.localized/Templates.localized/Plantilla%20Luza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ADF83E45-4920-4F13-B03F-4A40D982B19E}"/>
</file>

<file path=customXml/itemProps2.xml><?xml version="1.0" encoding="utf-8"?>
<ds:datastoreItem xmlns:ds="http://schemas.openxmlformats.org/officeDocument/2006/customXml" ds:itemID="{97442F55-8DE3-47AF-9002-4B9C6897B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1DD2E2-3FD4-4A1C-858B-101D9EC75860}">
  <ds:schemaRefs>
    <ds:schemaRef ds:uri="http://schemas.microsoft.com/office/2006/metadata/properties"/>
    <ds:schemaRef ds:uri="http://schemas.microsoft.com/office/infopath/2007/PartnerControls"/>
    <ds:schemaRef ds:uri="49074c51-7d3e-43c7-adc7-f90bd0bb7eb9"/>
    <ds:schemaRef ds:uri="e9e90f7f-76a6-4817-9df4-ecf1fb3517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Luzan.dotx</Template>
  <TotalTime>274</TotalTime>
  <Pages>7</Pages>
  <Words>1873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Rivas Gonzalez</dc:creator>
  <cp:keywords/>
  <dc:description/>
  <cp:lastModifiedBy>Pablo Rivas González</cp:lastModifiedBy>
  <cp:revision>151</cp:revision>
  <dcterms:created xsi:type="dcterms:W3CDTF">2025-07-09T08:47:00Z</dcterms:created>
  <dcterms:modified xsi:type="dcterms:W3CDTF">2026-07-02T17:51:00Z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  <property fmtid="{D5CDD505-2E9C-101B-9397-08002B2CF9AE}" pid="3" name="GrammarlyDocumentId">
    <vt:lpwstr>4947e7bd8e15ea86574df1a0fa5d765e5c197692feb6720a04fbe22ccec53f69</vt:lpwstr>
  </property>
</Properties>
</file>